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表5 数据授权申请表(一事一议/专项)</w:t>
      </w:r>
    </w:p>
    <w:p>
      <w:r>
        <w:t xml:space="preserve">关联资产ID:AST-001    资产名称:客户用电信息表    权益卡片ID:EC-PRA-0001(已确权,先确后授)</w:t>
      </w:r>
    </w:p>
    <w:p>
      <w:r>
        <w:t xml:space="preserve">授权方:广东电网有限责任公司    申请主体(被授权方):广州供电局</w:t>
      </w:r>
    </w:p>
    <w:p>
      <w:r>
        <w:t xml:space="preserve">授权权益类型:数据产品经营权    授权范围:全字段(不超确权边界)</w:t>
      </w:r>
    </w:p>
    <w:p>
      <w:r>
        <w:t xml:space="preserve">使用场景及目的:电力金融征信——基于用电行为构建征信评估模型,服务小微企业融资</w:t>
      </w:r>
    </w:p>
    <w:p>
      <w:r>
        <w:t xml:space="preserve">有效期(权益时效):2年    所属业务域:营销域</w:t>
      </w:r>
    </w:p>
    <w:p>
      <w:r>
        <w:t xml:space="preserve">申请单位主管:李主管    联系方式:020-66668888 / li@gz.csg.cn</w:t>
      </w:r>
    </w:p>
    <w:p>
      <w:r>
        <w:t xml:space="preserve">是否跨区域/跨域:否    涉个人隐私/商密:个人隐私(用电客户信息,已脱敏)</w:t>
      </w:r>
    </w:p>
    <w:p>
      <w:r>
        <w:t xml:space="preserve">第三方来源方式:不涉及    需保密承诺函:是(附录E)</w:t>
      </w:r>
    </w:p>
    <w:p>
      <w:r>
        <w:t xml:space="preserve">申请单位(盖章):广州供电局    日期:2026年6月11日</w:t>
      </w:r>
    </w:p>
  </w:body>
</w:document>
</file>