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应用场景说明:电力金融征信</w:t>
      </w:r>
    </w:p>
    <w:p>
      <w:r>
        <w:t xml:space="preserve">场景名称:电力金融征信(目录编号 IT-003,生效中)。</w:t>
      </w:r>
    </w:p>
    <w:p>
      <w:r>
        <w:t xml:space="preserve">合作背景:广州供电局与金融机构联合开展小微企业信用评估,以客户用电信息表用电行为数据辅助授信决策。</w:t>
      </w:r>
    </w:p>
    <w:p>
      <w:r>
        <w:t xml:space="preserve">数据使用方式:仅在安全域内建模,输出评分结果,不输出原始明细;涉个人信息字段全部脱敏。</w:t>
      </w:r>
    </w:p>
    <w:p>
      <w:r>
        <w:t xml:space="preserve">预期成效:提升小微企业融资可得性,数据不出域、可用不可见。</w:t>
      </w:r>
    </w:p>
    <w:p>
      <w:r>
        <w:t xml:space="preserve">编制单位(盖章):广州供电局    日期:2026年6月11日</w:t>
      </w:r>
    </w:p>
  </w:body>
</w:document>
</file>