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信息授权协议(征信客户授权说明)</w:t>
      </w:r>
    </w:p>
    <w:p>
      <w:r>
        <w:t xml:space="preserve">依据《征信业管理条例》及《个人信息保护法》,用电客户通过线上签约单独同意:</w:t>
      </w:r>
    </w:p>
    <w:p>
      <w:r>
        <w:t xml:space="preserve">同意广东电网有限责任公司将其用电数据用于信用评估目的,授权范围限于电力金融征信场景。</w:t>
      </w:r>
    </w:p>
    <w:p>
      <w:r>
        <w:t xml:space="preserve">授权撤回机制:客户可随时撤回授权,撤回后停止增量使用。</w:t>
      </w:r>
    </w:p>
    <w:p>
      <w:r>
        <w:t xml:space="preserve">协议版本:XYSQ-2026-V2    存档编号:GZ-CREDIT-AUTH-001</w:t>
      </w:r>
    </w:p>
    <w:p>
      <w:r>
        <w:t xml:space="preserve">出具单位(盖章):广州供电局    日期:2026年6月11日</w:t>
      </w:r>
    </w:p>
  </w:body>
</w:document>
</file>