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运营授权协议(附录D)·待双签稿</w:t>
      </w:r>
    </w:p>
    <w:p>
      <w:r>
        <w:t xml:space="preserve">甲方(授权方):广东电网有限责任公司    乙方(被授权方):广州供电局</w:t>
      </w:r>
    </w:p>
    <w:p>
      <w:r>
        <w:t xml:space="preserve">授权标的:客户用电信息表(AST-001);权益类型:数据产品经营权;范围:全字段;期限:2年。</w:t>
      </w:r>
    </w:p>
    <w:p>
      <w:r>
        <w:t xml:space="preserve">双方权利义务:甲方保证数据权属清晰(权益卡片EC-PRA-0001);乙方按附录E履行保密义务。</w:t>
      </w:r>
    </w:p>
    <w:p>
      <w:r>
        <w:t xml:space="preserve">本协议经双方签章后生效(提交审批通过后于"协议签章上传"页面上传双签扫描件)。</w:t>
      </w:r>
    </w:p>
    <w:p>
      <w:r>
        <w:t xml:space="preserve">甲方(盖章):________    乙方(盖章):________    签订日期:____年__月__日</w:t>
      </w:r>
    </w:p>
  </w:body>
</w:document>
</file>