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2"/>
        </w:rPr>
        <w:t>H 个人/家庭隐私授权说明</w:t>
      </w:r>
    </w:p>
    <w:p>
      <w:pPr>
        <w:jc w:val="left"/>
      </w:pPr>
      <w:r>
        <w:t xml:space="preserve">客户用电信息表(AST-001)涉及用电客户个人信息,授权情况说明:</w:t>
      </w:r>
    </w:p>
    <w:p>
      <w:pPr>
        <w:jc w:val="left"/>
      </w:pPr>
      <w:r>
        <w:t xml:space="preserve">涉及信息:客户姓名、证件号(脱敏存储)、用电地址、联系方式、用电量。</w:t>
      </w:r>
    </w:p>
    <w:p>
      <w:pPr>
        <w:jc w:val="left"/>
      </w:pPr>
      <w:r>
        <w:t xml:space="preserve">授权依据:《供用电合同》第X条及客户入网协议,客户已签署个人信息处理授权条款;</w:t>
      </w:r>
    </w:p>
    <w:p>
      <w:pPr>
        <w:jc w:val="left"/>
      </w:pPr>
      <w:r>
        <w:t xml:space="preserve">采集目的:购售电结算与营销服务;使用场景:营销业务办理、电费结算、欠费催缴。</w:t>
      </w:r>
    </w:p>
    <w:p>
      <w:pPr>
        <w:jc w:val="left"/>
      </w:pPr>
      <w:r>
        <w:t xml:space="preserve">特殊约定:对外提供须再次取得客户单独同意并脱敏;不得用于营销外的商业用途。</w:t>
      </w:r>
    </w:p>
    <w:p>
      <w:pPr>
        <w:jc w:val="left"/>
      </w:pPr>
      <w:r>
        <w:t xml:space="preserve">出具单位(盖章):广东电网有限责任公司    日期:2026年6月11日</w:t>
      </w:r>
    </w:p>
  </w:body>
</w:document>
</file>