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2026年度综能板块批量授权方案说明</w:t>
      </w:r>
    </w:p>
    <w:p>
      <w:r>
        <w:t xml:space="preserve">背景:南网综合能源股份有限公司开展园区综合能源服务,需常态化使用台区负荷/充电桩运营/线损分析三类数据。</w:t>
      </w:r>
    </w:p>
    <w:p>
      <w:r>
        <w:t xml:space="preserve">批量理由:同一被授权方、同一场景、同类权益(数据加工使用权),符合批量授权适用条件;</w:t>
      </w:r>
    </w:p>
    <w:p>
      <w:r>
        <w:t xml:space="preserve">逐项均已完成确权并持有有效权益卡片(先确后授)。</w:t>
      </w:r>
    </w:p>
    <w:p>
      <w:r>
        <w:t xml:space="preserve">流转路径:建清单(表6)→逐条加授权项→提交清单审批→领导小组决策批准→双签附录D→发证。</w:t>
      </w:r>
    </w:p>
    <w:p>
      <w:r>
        <w:t xml:space="preserve">编制单位(盖章):南网综合能源股份有限公司    日期:2026年6月11日</w:t>
      </w:r>
    </w:p>
  </w:body>
</w:document>
</file>