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数据安全保障方案(批量授权)</w:t>
      </w:r>
    </w:p>
    <w:p>
      <w:r>
        <w:t xml:space="preserve">安全域:数据仅在南网综合能源股份有限公司安全域内使用,可用不可见;输出仅为聚合分析结果。</w:t>
      </w:r>
    </w:p>
    <w:p>
      <w:r>
        <w:t xml:space="preserve">管控措施:等保三级;分级分类管控;访问审计留痕;到期自动回收账号与数据。</w:t>
      </w:r>
    </w:p>
    <w:p>
      <w:r>
        <w:t xml:space="preserve">违约处置:违反约定即触发授权冻结与追责。</w:t>
      </w:r>
    </w:p>
    <w:p>
      <w:r>
        <w:t xml:space="preserve">出具单位(盖章):南网综合能源股份有限公司    日期:2026年6月11日</w:t>
      </w:r>
    </w:p>
  </w:body>
</w:document>
</file>