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表2 数据确权信息清单(涉及第三方权益)</w:t>
      </w:r>
    </w:p>
    <w:p>
      <w:pPr>
        <w:jc w:val="left"/>
      </w:pPr>
      <w:r>
        <w:t xml:space="preserve">关联资产ID:AST-001    资产名称:客户用电信息表</w:t>
      </w:r>
    </w:p>
    <w:p>
      <w:pPr>
        <w:jc w:val="left"/>
      </w:pPr>
      <w:r>
        <w:t xml:space="preserve">G 行政监管:是。关联主体:国家能源局南方监管局;涉及电力营销业务监管报送要求。关联附件:客户用电信息表G01</w:t>
      </w:r>
    </w:p>
    <w:p>
      <w:pPr>
        <w:jc w:val="left"/>
      </w:pPr>
      <w:r>
        <w:t xml:space="preserve">H 个人/家庭隐私:是。关联主体:用电客户;涉及客户姓名、用电地址、联系方式、用电量等个人信息,</w:t>
      </w:r>
    </w:p>
    <w:p>
      <w:pPr>
        <w:jc w:val="left"/>
      </w:pPr>
      <w:r>
        <w:t xml:space="preserve">采集依据《供用电合同》及入网协议,使用范围限营销业务,有特殊约定。关联附件:客户用电信息表H01</w:t>
      </w:r>
    </w:p>
    <w:p>
      <w:pPr>
        <w:jc w:val="left"/>
      </w:pPr>
      <w:r>
        <w:t xml:space="preserve">I 第三方商业机密:否。    J 其他第三方协议:否。</w:t>
      </w:r>
    </w:p>
    <w:p>
      <w:pPr>
        <w:jc w:val="left"/>
      </w:pPr>
      <w:r>
        <w:t xml:space="preserve">来源权益限制摘要:涉个人信息字段对外提供须脱敏并经客户授权。</w:t>
      </w:r>
    </w:p>
    <w:p>
      <w:pPr>
        <w:jc w:val="left"/>
      </w:pPr>
      <w:r>
        <w:t xml:space="preserve">权益风险说明:未经授权对外提供个人信息存在合规风险,已纳入敏感数据管控。</w:t>
      </w:r>
    </w:p>
    <w:p>
      <w:pPr>
        <w:jc w:val="left"/>
      </w:pPr>
      <w:r>
        <w:t xml:space="preserve">填报单位(盖章):广东电网有限责任公司    日期:2026年6月11日</w:t>
      </w:r>
    </w:p>
  </w:body>
</w:document>
</file>