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G 行政监管要求补充说明</w:t>
      </w:r>
    </w:p>
    <w:p>
      <w:pPr>
        <w:jc w:val="left"/>
      </w:pPr>
      <w:r>
        <w:t xml:space="preserve">客户用电信息表(AST-001)涉及行政监管要求,说明如下:</w:t>
      </w:r>
    </w:p>
    <w:p>
      <w:pPr>
        <w:jc w:val="left"/>
      </w:pPr>
      <w:r>
        <w:t xml:space="preserve">监管机构:国家能源局南方监管局。</w:t>
      </w:r>
    </w:p>
    <w:p>
      <w:pPr>
        <w:jc w:val="left"/>
      </w:pPr>
      <w:r>
        <w:t xml:space="preserve">监管要求:按《供电监管办法》及营销业务监管报送要求,定期报送用电营销数据;</w:t>
      </w:r>
    </w:p>
    <w:p>
      <w:pPr>
        <w:jc w:val="left"/>
      </w:pPr>
      <w:r>
        <w:t xml:space="preserve">数据留存与报送须符合监管口径,不得擅自变更统计口径。</w:t>
      </w:r>
    </w:p>
    <w:p>
      <w:pPr>
        <w:jc w:val="left"/>
      </w:pPr>
      <w:r>
        <w:t xml:space="preserve">对确权影响:持有权/使用权不受影响;对外提供须满足监管合规要求。</w:t>
      </w:r>
    </w:p>
    <w:p>
      <w:pPr>
        <w:jc w:val="left"/>
      </w:pPr>
      <w:r>
        <w:t xml:space="preserve">出具单位(盖章):广东电网有限责任公司    日期:2026年6月11日</w:t>
      </w:r>
    </w:p>
  </w:body>
</w:document>
</file>