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数据确权要素材料</w:t>
      </w:r>
    </w:p>
    <w:p>
      <w:r>
        <w:t>权利类型:数据加工使用权</w:t>
      </w:r>
    </w:p>
    <w:p>
      <w:r>
        <w:t>数据来源:共同生产</w:t>
      </w:r>
    </w:p>
    <w:p>
      <w:r>
        <w:t>数据特征:商业秘密</w:t>
      </w:r>
    </w:p>
    <w:p>
      <w:r>
        <w:t>来源主体:广东电网</w:t>
      </w:r>
    </w:p>
    <w:p>
      <w:r>
        <w:t>授权主体:集团公司</w:t>
      </w:r>
    </w:p>
    <w:p>
      <w:r>
        <w:t>使用主体:数据使用单位</w:t>
      </w:r>
    </w:p>
    <w:p>
      <w:r>
        <w:t>加工主体:数据加工方</w:t>
      </w:r>
    </w:p>
    <w:p>
      <w:r>
        <w:t>共享对象:合作方</w:t>
      </w:r>
    </w:p>
    <w:p>
      <w:r>
        <w:t>授权范围:约定字段</w:t>
      </w:r>
    </w:p>
    <w:p>
      <w:r>
        <w:t>使用边界:仅限内部分析使用</w:t>
      </w:r>
    </w:p>
    <w:p>
      <w:r>
        <w:t>共享限制:禁止再共享</w:t>
      </w:r>
    </w:p>
    <w:p>
      <w:r>
        <w:t>保留期限:3年</w:t>
      </w:r>
    </w:p>
    <w:p>
      <w:r>
        <w:t>脱敏要求:手机号与身份证脱敏</w:t>
      </w:r>
    </w:p>
    <w:p>
      <w:r>
        <w:t>已加盖公章。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