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历史确权记录</w:t>
      </w:r>
    </w:p>
    <w:p>
      <w:r>
        <w:t>权利主体:深圳供电局</w:t>
      </w:r>
    </w:p>
    <w:p>
      <w:r>
        <w:t>权利类型:数据所有权</w:t>
      </w:r>
    </w:p>
    <w:p>
      <w:r>
        <w:t>授权范围:全字段</w:t>
      </w:r>
    </w:p>
    <w:p>
      <w:r>
        <w:t>排他:是</w:t>
      </w:r>
    </w:p>
    <w:p>
      <w:r>
        <w:t>有效期:至2027-01-01</w:t>
      </w:r>
    </w:p>
    <w:p>
      <w:r>
        <w:t>已盖章。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2026-06-15T08:55:46Z</dcterms:created>
  <dc:creator>Apache POI</dc:creator>
</cp:coreProperties>
</file>