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当前确权申请</w:t>
      </w:r>
    </w:p>
    <w:p>
      <w:r>
        <w:t>权利主体:广东电网有限责任公司</w:t>
      </w:r>
    </w:p>
    <w:p>
      <w:r>
        <w:t>权利类型:数据资源持有权</w:t>
      </w:r>
    </w:p>
    <w:p>
      <w:r>
        <w:t>授权范围:全字段</w:t>
      </w:r>
    </w:p>
    <w:p>
      <w:r>
        <w:t>排他:是</w:t>
      </w:r>
    </w:p>
    <w:p>
      <w:r>
        <w:t>有效期:至2028-01-01</w:t>
      </w:r>
    </w:p>
    <w:p>
      <w:r>
        <w:t>已盖章。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