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choices.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IMPRES nearly unchanged), 3.5× the largest within-cohort method gap, while two clinical response definitions on identical patients move predictions by at most 0.084. MI- and variance-based feature selection yield 27%-overlapping gene sets at indistinguishable performance. The Circularity Detection Score (CDS) flags the circular endpoint far above its cohort-matched null, yet its categorical labels prove non-specific. No trainable method survives FDR correction on clinical endpoints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Yet only 20–30% of unselected patients achieve objective responses, motivating intensive efforts to develop transcriptomic biomarkers for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[11–13];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[15–18]: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pre-specified substitution for GSE274975).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scripts/e1_gse274975_replication.py.</w:t>
      </w:r>
    </w:p>
    <w:p>
      <w:pPr>
        <w:jc w:val="both"/>
      </w:pPr>
      <w:r>
        <w:rPr>
          <w:b/>
        </w:rPr>
        <w:t>Cross-cancer replication (pre-declared):</w:t>
      </w:r>
      <w:r>
        <w:t xml:space="preserve"> The effect replicates in a non-melanoma tumour type — IMvigor210 </w:t>
      </w:r>
      <w:r>
        <w:rPr>
          <w:vertAlign w:val="superscript"/>
        </w:rPr>
        <w:t>[21]</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behaviour: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six trainable cells by 0.011–0.087 (frozen hyperparameters differ from the tune_primary selections; per-cell JSON under results/benchmark/v33/nc_cells/).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0.10.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[22]</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analysing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behaviour;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favourable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60–1,000 full-pipeline shuffles (each shuffle re-fits the pipeline, ≈60–90 s); ≥5,000 applies to fixed scorers and borderline cases, and the resolution ceiling at n ≤ 43 is disclosed in Methods. </w:t>
      </w:r>
      <w:r>
        <w:rPr>
          <w:b/>
        </w:rPr>
        <w:t>Priority guidance:</w:t>
      </w:r>
      <w:r>
        <w:t xml:space="preserve"> The three largest-variance levers are (1) at least one clinical endpoint alongside any molecular surrogate, (2) pre-specified multi-strategy feature selection with overlap reporting, and (3) non-learning baselines (IMPRES, GEP) as negative controls;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confirms this directly (largest endpoint-switch Δ = 0.084 across six methods, below the largest within-cohort method gap; Table S26). SPATBench asks a different question from existing benchmarks [15–18],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two further cohorts with full endpoint-switch replication (Liu 2019, melanoma; IMvigor210, bladder carcinoma — the latter a cytolytic-to-RECIST switch on 297 patients with a clinical RECIST endpoint,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tumour type (no suitable NSCLC RECIST cohort exists; Limitations);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[22]</w:t>
      </w:r>
      <w:r>
        <w:t xml:space="preserve"> ; the inherited feature-selection-bias caveat is in Limitations. Benchmark studies should therefore report each method's known developmental limitations alongside performance.</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behaviour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[23]</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[5,30].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[24]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(the pre-declared candidate GSE274975 was investigated and disqualified).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NSCLC replication remains an open gap: the pre-declared candidate (GSE274975) lacks clinical endpoints, and a documented screen of the ten iAtlas harmonizations (no NSCLC study exists there) and of GEO found no suitable NSCLC ICI cohort with dual endpoints and public expression data.</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[22];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[25]</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[26]</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[27]</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[25]</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analysed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[28]</w:t>
      </w:r>
      <w:r>
        <w:t xml:space="preserve">. Immune deconvolution signatures (14 cell types, 43 unique genes; Supplementary Table S10) </w:t>
      </w:r>
      <w:r>
        <w:rPr>
          <w:vertAlign w:val="superscript"/>
        </w:rPr>
        <w:t>[29]</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[30]</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[31]</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[32]</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favourable)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[33]</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[34]</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[35]</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[22]</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