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methodology. SPATBench, an open-source framework, isolates three design choices across six methods and five ICI-treated cohorts (196 patients). Switching from a molecular surrogate (cytolytic activity) to a clinical endpoint (RECIST v1.1) on the same patients collapses every method whose features overlap the endpoint-defining genes (ElasticNet-Var 0.985 to 0.465; GEP 0.968 to 0.503; IMPRES unchanged), 3.5× the largest method gap. Var- and MI-based feature selection yield 27%-overlapping gene sets at indistinguishable performance. The Circularity Detection Score (CDS) places the circular endpoint far above its cohort-matched null while its categorical labels prove non-specific. No trainable method survives FDR correction on clinical endpoints at n ≤ 43, whereas at n = 73 (Gide 2019) ElasticNet-MI is significant (p = 0.0232). SPATBench and CDS are open-source and Docker-reproducible.</w:t>
      </w:r>
    </w:p>
    <w:p>
      <w:pPr>
        <w:jc w:val="both"/>
      </w:pPr>
      <w:r>
        <w:rPr>
          <w:b/>
        </w:rPr>
        <w:t>Keywords:</w:t>
      </w:r>
      <w:r>
        <w:t xml:space="preserve"> cancer immunotherapy; biomarker benchmarking; response definition; feature selection; endpoint circularity; transcriptomics; machine learning; immune checkpoint inhibitors</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Yet only 20–30% of unselected patients achieve objective responses, motivating intensive efforts to develop transcriptomic biomarkers for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[11–13];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[15–18]: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[33]</w:t>
      </w:r>
      <w:r>
        <w:t xml:space="preserve"> (n = 122 annotated samples; DFCI anti-PD-1 melanoma; independent of all five benchmark cohorts; iAtlas harmonization; the pre-specified substitution for GSE274975).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scripts/e1_gse274975_replication.py.</w:t>
      </w:r>
    </w:p>
    <w:p>
      <w:pPr>
        <w:jc w:val="both"/>
      </w:pPr>
      <w:r>
        <w:rPr>
          <w:b/>
        </w:rPr>
        <w:t>Cross-cancer replication (pre-declared):</w:t>
      </w:r>
      <w:r>
        <w:t xml:space="preserve"> The effect replicates in a non-melanoma tumour type — IMvigor210 </w:t>
      </w:r>
      <w:r>
        <w:rPr>
          <w:vertAlign w:val="superscript"/>
        </w:rPr>
        <w:t>[19]</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behaviour: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No non-circular response-definition contrast (e.g., RECIST vs PFS in the same patients) was available in any public cohort — a boundary of the claim (Limitations).</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six trainable cells by 0.011–0.087 (frozen hyperparameters differ from the tune_primary selections; per-cell JSON under results/benchmark/v33/nc_cells/).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0.038), and — after extension to 5,000 full-pipeline shuffles — the trainable signatures ElasticNet-MI (frozen-track 0.662, q = 0.028) and ElasticNet-Var (0.605, q = 0.030).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0.10. No trainable method survives FDR correction on any clinical endpoint at n ≤ 43; on Gide (n = 73), ElasticNet-MI and ElasticNet-Var are detectable under the within-cohort family (q = 0.028, 0.030) though ElasticNet-Var does not survive the global family (q = 0.066) — the first sample size at which any method's signal becomes detectable, consistent with the power analysis. IMPRES on Hugo carries the Carter et al. (2019) training-set-bias caveat </w:t>
      </w:r>
      <w:r>
        <w:rPr>
          <w:vertAlign w:val="superscript"/>
        </w:rPr>
        <w:t>[30]</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ratio compares tuning-track point estimates (Δ = 0.520 against a same-endpoint method gap of 0.148). Under the frozen-hyperparameter pipeline on the full 42-patient RECIST-evaluable set, the collapse is Δ = 0.343 (bootstrap 95% CI 0.097–0.584, 1,000 resamples, seed 42) against a frozen-track method gap of 0.029 (CI 0.023–0.300); the frozen-track ratio (11.98, CI 0.46–14.32) has a larger point estimate but a wide interval because the denominator is itself small and volatile at this n, so the ratio is reported as descriptive only. The inferential anchor is the Δ interval, which excludes zero; the tuning-track 3.5× is the conservative reading of the effect. (`results/benchmark/v33/effect_size_bootstrap_v33.json`)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0.72–0.82 (Riaz 0.72; Hugo 0.76; Lauss 0.77; Jung 0.82), whereas at n = 73 (Gide) it falls to 0.68: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favourable correlation assumption (paired, r = 0.75) and ≈260–510 under weaker or no correlation (power_table_v33.json); n ≥ 50 is therefore a minimum practical floor, not a sufficient condition (Table 9).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baselines</w:t>
            </w:r>
          </w:p>
        </w:tc>
        <w:tc>
          <w:tcPr>
            <w:tcW w:type="dxa" w:w="2880"/>
          </w:tcPr>
          <w:p>
            <w:r>
              <w:rPr>
                <w:sz w:val="16"/>
              </w:rPr>
              <w:t>Often omitted</w:t>
            </w:r>
          </w:p>
        </w:tc>
        <w:tc>
          <w:tcPr>
            <w:tcW w:type="dxa" w:w="2880"/>
          </w:tcPr>
          <w:p>
            <w:r>
              <w:rPr>
                <w:sz w:val="16"/>
              </w:rPr>
              <w:t>Include IMPRES + GEP as negative controls</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60–1,000 full-pipeline shuffles (each shuffle re-fits the pipeline, ≈60–90 s); ≥5,000 applies to fixed scorers and borderline cases, and the resolution ceiling at n ≤ 43 is disclosed in Methods. </w:t>
      </w:r>
      <w:r>
        <w:rPr>
          <w:b/>
        </w:rPr>
        <w:t>Priority guidance:</w:t>
      </w:r>
      <w:r>
        <w:t xml:space="preserve"> The three largest-variance levers are (1) at least one clinical endpoint alongside any molecular surrogate, (2) pre-specified multi-strategy feature selection with overlap reporting, and (3) non-learning baselines (IMPRES, GEP) as negative controls;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SPATBench asks a different question from existing benchmarks [15–18],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three further cohorts spanning two cancer types — each using the same author-constructed cytolytic surrogate, so these establish portability, not prevalence; the published-study audit (Tables S17, S20) establishes prevalence.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[30]</w:t>
      </w:r>
      <w:r>
        <w:t xml:space="preserve"> ; the inherited feature-selection-bias caveat is in Limitations. Benchmark studies should therefore report each method's known developmental limitations alongside performance.</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behaviour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[5,30]. The same reading extends to five published benchmark studies (Table S17): in every cohort the cytolytic positive controls sit far above their nulls while the clinical endpoints sit at or within theirs (DC1 cohorts; an independent 10-replicate null run preserves the ordering — Tables S17/S19/S20; the Van Allen CTLA-4 cohort [34]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(the pre-declared candidate GSE274975 was investigated and disqualified).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NSCLC replication remains an open gap: the pre-declared candidate (GSE274975) lacks clinical endpoints, and no suitable NSCLC ICI cohort with dual endpoints and public expression data has been identified.</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[30];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[20]</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[24]</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[20]</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mechanism analysed in this paper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[22]</w:t>
      </w:r>
      <w:r>
        <w:t xml:space="preserve">. Immune deconvolution signatures (14 cell types, 43 unique genes as implemented in `run_tcga_cox.py`; Supplementary Table S10) </w:t>
      </w:r>
      <w:r>
        <w:rPr>
          <w:vertAlign w:val="superscript"/>
        </w:rPr>
        <w:t>[23]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[28]</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[26]</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Correction (this revision): under the current protocol XGBoost is not degenerate — re-runs produce non-degenerate predictions (Hugo 0.554, Lauss 0.493, Jung 0.611, Riaz-RECIST 0.434, Gide 0.718, and 0.991 on the circular cytolytic endpoint; all six cohorts re-run; `results/benchmark/v33/xgb_exclusion_evidence_v33.json`) and its inclusion would not change any conclusion, since it shows no signal at n ≤ 43 and its only higher value lies at n = 73, outside the scope of the negative claim. XGBoost is absent from the reported matrix because the development-phase runs were not retained under the current protocol, not because of degeneracy.) are retained for audit even though the prediction tables are not).</w:t>
      </w:r>
    </w:p>
    <w:p>
      <w:pPr>
        <w:jc w:val="both"/>
      </w:pPr>
      <w:r>
        <w:rPr>
          <w:b/>
        </w:rPr>
        <w:t>Permutation resolution:</w:t>
      </w:r>
      <w:r>
        <w:t xml:space="preserve"> p-values are exact given the recorded per-cell shuffle count: 50,000 for fixed scorers (minimum detectable p = 2 × 10⁻⁵) and 60–5,000 full-pipeline shuffles for the trainable methods, where the compute cost of re-fitting under every shuffle (≈60–90 s per shuffle) is the binding constraint. We state the resolution ceiling explicitly: at 60 shuffles the smallest achievable exact p is 1/61 ≈ 0.016, so within a six-test cohort family the smallest attainable BH q is ≈ 0.10; the non-survival of trainable methods on clinical endpoints at n ≤ 43 is therefore established at this resolution and is corroborated independently by bootstrap 95% CIs that all overlap 0.5 (Supplementary Table S9). Trainable cells with p ≤ 0.08 at the initial budget were extended where compute permitted (up to 1,000 shuffles; the Gide ElasticNet-MI cell to 5,000). The one remaining borderline trainable cell, ElasticNet-MI on Gide 2019, was subsequently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no trainable method survives (Gide sits above that threshold). The smallest non-significant within-cohort BH q-value on any clinical endpoint at n ≤ 43 is 0.058 (Lauss PD-L1).</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[27]</w:t>
      </w:r>
      <w:r>
        <w:t xml:space="preserve"> was considered but the bootstrap version was used throughout — we refer to these as paired bootstrap tests, not DeLong tests). The Bonferroni threshold (p &lt; 0.05/35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[29]</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[25]</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[31]</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[30]</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Efron, B. and Tibshirani, R.J. (1993). *An Introduction to the Bootstrap*. Chapman &amp; Hall, New York.</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Kapoor, S. and Narayanan, A. (2023). Leakage and the reproducibility crisis in machine-learning-based science. *Patterns* 4, 100804. doi:10.1016/j.patter.2023.100804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