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tumour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with executed endpoint-switch replications (Liu 2019, melanoma; GSE274975, NSCLC; IMmotion150, renal cell carcinoma),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(four cancer types now carry executed external replications; Supplementary Tables S19, S20, S27, S28);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[5,26].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and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four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[26]</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[36]</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