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choices.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IMPRES nearly unchanged), 3.5× the largest within-cohort method gap, while two clinical response definitions on identical patients move predictions by at most 0.084. MI- and variance-based feature selection yield 27%-overlapping gene sets at indistinguishable performance. The Circularity Detection Score (CDS) flags the circular endpoint far above its cohort-matched null, yet its categorical labels prove non-specific. No trainable method survives FDR correction on clinical endpoints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Yet only 20–30% of unselected patients achieve objective responses, motivating intensive efforts to develop transcriptomic biomarkers for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[11–13];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[15–18]: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pre-specified substitution for GSE274975).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scripts/e1_gse274975_replication.py.</w:t>
      </w:r>
    </w:p>
    <w:p>
      <w:pPr>
        <w:jc w:val="both"/>
      </w:pPr>
      <w:r>
        <w:rPr>
          <w:b/>
        </w:rPr>
        <w:t>Cross-cancer replication (pre-declared):</w:t>
      </w:r>
      <w:r>
        <w:t xml:space="preserve"> The effect replicates in a non-melanoma tumour type — IMvigor210 </w:t>
      </w:r>
      <w:r>
        <w:rPr>
          <w:vertAlign w:val="superscript"/>
        </w:rPr>
        <w:t>[21]</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[22]</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[15–18],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two further cohorts with full endpoint-switch replication (Liu 2019, melanoma; IMvigor210, bladder carcinoma — the latter a cytolytic-to-RECIST switch on 297 patients with a clinical RECIST endpoint,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tumour type (no suitable NSCLC RECIST cohort exists; Limitations);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[22]</w:t>
      </w:r>
      <w:r>
        <w:t xml:space="preserve"> ; the inherited feature-selection-bias caveat is in Limitations. Benchmark studies should therefore report each method's known developmental limitations alongside performance.</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[23]</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[5,30].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[24]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(the pre-declared candidate GSE274975 was investigated and disqualified).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NSCLC replication remains an open gap: the pre-declared candidate (GSE274975) lacks clinical endpoints, and a documented screen of the ten iAtlas harmonizations (no NSCLC study exists there) and of GEO found no suitable NSCLC ICI cohort with dual endpoints and public expression data.</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[22];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[25]</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[26]</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[27]</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[25]</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[28]</w:t>
      </w:r>
      <w:r>
        <w:t xml:space="preserve">. Immune deconvolution signatures (14 cell types, 43 unique genes; Supplementary Table S10) </w:t>
      </w:r>
      <w:r>
        <w:rPr>
          <w:vertAlign w:val="superscript"/>
        </w:rPr>
        <w:t>[29]</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[30]</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[31]</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[32]</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[33]</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[34]</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[35]</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[22]</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