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while two clinical definitions on identical patients move predictions by at most 0.084, and the effect replicates in executed external cohorts spanning four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Yet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four cancer types (melanoma, bladder carcinoma, NSCLC and renal cell carcinoma)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analysed):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tumour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two newly executed clinical replications return HIGH as well (GSE274975 RECIST 0.750 vs null mean 0.488; IMmotion150 RECIST 0.741 vs 0.492): in immune-inflamed tumours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[24]</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with executed endpoint-switch replications (Liu 2019, melanoma; GSE274975, NSCLC; IMmotion150, renal cell carcinoma),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(four cancer types now carry executed external replications; Supplementary Tables S19, S20, S27, S28);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[24]</w:t>
      </w:r>
      <w:r>
        <w:t xml:space="preserve"> ;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[25]</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[5,26].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and IMmotion150;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four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validation (2,491 patients, 4 cancer types). The fully controlled within-patient endpoint-switch contrast is Riaz melanoma, while the surrogate-versus-clinical inflation pattern is observed in all four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[24];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[26]</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[33]</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[34]</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[35]</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[36]</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[37]</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[24]</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