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(196 patients; 169 melanoma). Switching from a molecular surrogate (cytolytic activity) to a clinical endpoint (RECIST v1.1) in the same patients (melanoma, Riaz) collapses every method whose features overlap the endpoint-defining genes (ElasticNet-Var 0.985 to 0.465; GEP 0.968 to 0.503), a larger effect than the largest within-cohort method gap. Two clinical definitions on identical patients move predictions by at most 0.083. The effect replicates in executed external cohorts spanning five cancer types. MI- and variance-based selection yield 27%-overlapping gene sets and indistinguishable performance. The Circularity Detection Score (CDS) flags the circular endpoint far above its null, yet its categorical labels prove non-specific. No trainable method survives FDR correction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w:t>
      </w:r>
      <w:r>
        <w:rPr>
          <w:vertAlign w:val="superscript"/>
        </w:rPr>
        <w:t>[1,2]</w:t>
      </w:r>
      <w:r>
        <w:t xml:space="preserve">, yet the transcriptomic biomarkers developed to guide their use rest on a methodological foundation that has not itself been systematically audited. Only 20–30% of unselected patients achieve objective responses, motivating intensive efforts to develop transcriptomic biomarkers for stratification </w:t>
      </w:r>
      <w:r>
        <w:t>[3–6]</w:t>
      </w:r>
      <w:r>
        <w:t xml:space="preserve">.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w:t>
      </w:r>
      <w:r>
        <w:t>[6–8]</w:t>
      </w:r>
      <w:r>
        <w:t xml:space="preserve">.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w:t>
      </w:r>
      <w:r>
        <w:t>[11–13]</w:t>
      </w:r>
      <w:r>
        <w:t xml:space="preserve">;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w:t>
      </w:r>
      <w:r>
        <w:t>[15–18]</w:t>
      </w:r>
      <w:r>
        <w:t xml:space="preserve">: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tumor-microenvironment scoring methods found none reliable across cancer types </w:t>
      </w:r>
      <w:r>
        <w:rPr>
          <w:vertAlign w:val="superscript"/>
        </w:rPr>
        <w:t>[19]</w:t>
      </w:r>
      <w:r>
        <w:t xml:space="preserve"> (Supplementary Table S2 compares their published AUROCs with mine). All hold methodology fixed and compare methods; my approach is orthogonal — I hold methods fixed and systematically vary methodological choices, asking which design decisions, rather than which algorithms, determine benchmark outcomes. The surrogate-endpoint variant of this problem is not hypothetical: the immunophenoscore, a widely applied response surrogate, was derived using machine learning on TCGA data partitioned by median cytolytic activity (GZMA/PRF1) within each cancer type </w:t>
      </w:r>
      <w:r>
        <w:rPr>
          <w:vertAlign w:val="superscript"/>
        </w:rPr>
        <w:t>[20]</w:t>
      </w:r>
      <w:r>
        <w:t xml:space="preserve">, and a substantial methodological literature trains or selects transcriptomic response predictors against gene-expression-derived responder calls such as TIDE-score dichotomies </w:t>
      </w:r>
      <w:r>
        <w:rPr>
          <w:vertAlign w:val="superscript"/>
        </w:rPr>
        <w:t>[21,22]</w:t>
      </w:r>
      <w:r>
        <w:t xml:space="preserve"> (field audit in Results; Supplementary Table S30). Here I present SPATBench, a computational framework and benchmark resource asking: </w:t>
      </w:r>
      <w:r>
        <w:rPr>
          <w:i/>
        </w:rPr>
        <w:t>given that rankings are unreliable at available sample sizes, which methodological choices contribute most to that unreliability, and by how much?</w:t>
      </w:r>
      <w:r>
        <w:t xml:space="preserve"> My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in which the endpoint is defined by genes that also appear in the predictor's features, so the evaluation loses independence — with effect-size comparisons against method-level variation.</w:t>
      </w:r>
    </w:p>
    <w:p>
      <w:pPr>
        <w:pStyle w:val="ListNumber"/>
      </w:pPr>
      <w:r>
        <w:t>A reporting convention for pre-benchmarking endpoint assessment whose binding rule is the declaration of endpoint-defining genes: any gene-defined surrogate is circular by construction, whatever any score reads. Its quantitative companion, the Circularity Detection Score (CDS), null-references endpoint-gene association against a cohort-matched random-label null — evaluated on 5 real endpoints, 5 synthetic scenarios, 60 pseudo-endpoints, one retrospective external consistency check (Auslander et al. 2018), and published benchmark studies — while on real bulk-tumor data the composite reduces to an affine transform of two standard association statistics and its categorical labels are advisory only.</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five cancer types (melanoma, bladder carcinoma, NSCLC, renal cell carcinoma and gastric cancer) via executed external replications.</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 = 42)</w:t>
            </w:r>
          </w:p>
        </w:tc>
        <w:tc>
          <w:tcPr>
            <w:tcW w:type="dxa" w:w="1728"/>
          </w:tcPr>
          <w:p>
            <w:r>
              <w:rPr>
                <w:sz w:val="16"/>
              </w:rPr>
              <w:t>Cytolytic AUROC (n = 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 i.e. its protocol was fixed before the replication data were analyzed):</w:t>
      </w:r>
      <w:r>
        <w:t xml:space="preserve"> The effect replicates on an independent cohort — Liu 2019 </w:t>
      </w:r>
      <w:r>
        <w:rPr>
          <w:vertAlign w:val="superscript"/>
        </w:rPr>
        <w:t>[23]</w:t>
      </w:r>
      <w:r>
        <w:t xml:space="preserve"> (n = 122 annotated samples; DFCI anti-PD-1 melanoma; independent of all five benchmark cohorts; iAtlas harmonization; the first executed external replication).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Benjamini-Hochberg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scripts/e1_replication_liu2019.py.</w:t>
      </w:r>
    </w:p>
    <w:p>
      <w:pPr>
        <w:jc w:val="both"/>
      </w:pPr>
      <w:r>
        <w:rPr>
          <w:b/>
        </w:rPr>
        <w:t>Pre-declared NSCLC candidate executed:</w:t>
      </w:r>
      <w:r>
        <w:t xml:space="preserve"> GSE274975 </w:t>
      </w:r>
      <w:r>
        <w:rPr>
          <w:vertAlign w:val="superscript"/>
        </w:rPr>
        <w:t>[24]</w:t>
      </w:r>
      <w:r>
        <w:t xml:space="preserve"> (anti-PD-(L)1 NSCLC, n = 61; RECIST responders 15) reports its RECIST and PFS endpoints in the source publication's supplementary table rather than in GEO metadata. After recovering them and verifying sample identity (patient-number bijection across the counts matrix, the GEO titles and the clinical table; histotype concordance 57/58, Table S27), the pre-declared analysis protocol ran unchanged. RECIST leaves PD-L1 expression as the only fixed scorer surviving label permutation (0.690 [0.513–0.865], perm p = 0.014, BH q = 0.056), consistent with PD-L1 IHC being the clinically approved biomarker in this indication; GEP reaches 0.613 (p = 0.100) and IMPRES, TIDE and both ElasticNets sit at chance. The surrogate endpoint inflates GEP to 0.881 (p = 2 × 10⁻⁵, BH q = 8 × 10⁻⁵; CDS 0.786 HIGH). Full results in Supplementary Table S27; pipeline in scripts/e1_gse274975_executed.py.</w:t>
      </w:r>
    </w:p>
    <w:p>
      <w:pPr>
        <w:jc w:val="both"/>
      </w:pPr>
      <w:r>
        <w:rPr>
          <w:b/>
        </w:rPr>
        <w:t>Cross-cancer replication (pre-declared):</w:t>
      </w:r>
      <w:r>
        <w:t xml:space="preserve"> The effect replicates in a non-melanoma tumor type — IMvigor210 </w:t>
      </w:r>
      <w:r>
        <w:rPr>
          <w:vertAlign w:val="superscript"/>
        </w:rPr>
        <w:t>[25]</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separates the two endpoints in this cohort: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Fourth cancer type (ccRCC):</w:t>
      </w:r>
      <w:r>
        <w:t xml:space="preserve"> IMmotion150 </w:t>
      </w:r>
      <w:r>
        <w:rPr>
          <w:vertAlign w:val="superscript"/>
        </w:rPr>
        <w:t>[26]</w:t>
      </w:r>
      <w:r>
        <w:t xml:space="preserve"> (advanced renal cell carcinoma, atezolizumab arm; n = 165 RECIST-evaluable, 48 responders; iAtlas harmonization, which pools the monotherapy and combination arms). RECIST preserves two signals: GEP, the strongest fixed scorer in this cohort (0.662 [0.569–0.750], perm p = 4.4 × 10⁻⁴, BH q = 0.002), and PD-L1 expression (0.599, p = 0.023, BH q = 0.045), the trial's own stratification biomarker. Switching RECIST to durable clinical benefit (PFS ≥ 6 months without progression) attenuates but does not abolish GEP (0.604, p = 0.016, BH q = 0.064). The time-only PFS &lt; 6-month variant collapses every fixed signature (GEP 0.438) while ElasticNet-Var retains 0.659 [0.582–0.735] (Table S28; this cell was not permutation-tested and is reported descriptively). The surrogate endpoint yields GEP 0.905 (CDS 0.945 vs null 0.516). Full results in Supplementary Table S28; pipeline in scripts/e1_immotion150_executed.py.</w:t>
      </w:r>
    </w:p>
    <w:p>
      <w:pPr>
        <w:jc w:val="both"/>
      </w:pPr>
      <w:r>
        <w:rPr>
          <w:b/>
        </w:rPr>
        <w:t>Fifth cancer type (gastric):</w:t>
      </w:r>
      <w:r>
        <w:t xml:space="preserve"> PRJEB25780 </w:t>
      </w:r>
      <w:r>
        <w:rPr>
          <w:vertAlign w:val="superscript"/>
        </w:rPr>
        <w:t>[27]</w:t>
      </w:r>
      <w:r>
        <w:t xml:space="preserve"> (metastatic gastric cancer, n = 78, all anti-PD-1; TIGER portal). RECIST yields GEP 0.744 [0.602–0.854], perm p = 0.00034, BH q = 0.001 — the strongest GEP signal in the replication series and the strongest FDR-level confirmation in a non-melanoma, non-RCC tumor type (BH q = 0.001, versus 0.010 for IMvigor210). PD-L1 expression also survives (0.688 [0.537–0.820], perm p = 0.005, BH q = 0.005). CDS sits above its null (0.779 vs 0.601), confirming that the declared genes genuinely track response rather than creating a circular artifact. The surrogate endpoint inflates GEP to 0.922 (CDS 0.936 HIGH). Full results in Supplementary Table S29; pipeline in scripts/build_tiger_cohorts.py.</w:t>
      </w:r>
    </w:p>
    <w:p>
      <w:pPr>
        <w:jc w:val="both"/>
      </w:pPr>
      <w:r>
        <w:rPr>
          <w:b/>
        </w:rPr>
        <w:t>Clinical–clinical contrast (non-circular):</w:t>
      </w:r>
      <w:r>
        <w:t xml:space="preserve"> One public cohort carries two clinical response definitions on the same patients: Liu 2019, whose iAtlas harmonization annotates both RECIST and PFS. I defined durable clinical benefit (DCB) as progression-free at ≥6 months and excluded samples censored earlier. The two definitions agree substantially (κ = 0.669; 48 RECIST responders, 58 DCB). Across all six methods, switching between them moves predictions by at most 0.083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this contrast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flags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jc w:val="both"/>
      </w:pPr>
      <w:r>
        <w:rPr>
          <w:b/>
        </w:rPr>
        <w:t>Field audit: the surrogate-endpoint construction exists in the published literature.</w:t>
      </w:r>
      <w:r>
        <w:t xml:space="preserve"> The construction dissected above is not merely a hypothetical worst case. A structured audit of the published literature (PubMed and Google Scholar; queries pairing "TIDE", "immunophenoscore", or "cytolytic activity" with "immunotherapy response" and TCGA; cutoff 2026-09-26; Supplementary Table S30) identified seven studies that train or select immunotherapy-response predictors against gene-expression-derived response labels in cohorts without ICI outcomes. The immunophenoscore — one of the field's most widely applied response surrogates — was derived using machine learning on TCGA data partitioned by median cytolytic activity (GZMA/PRF1) within each cancer type </w:t>
      </w:r>
      <w:r>
        <w:rPr>
          <w:vertAlign w:val="superscript"/>
        </w:rPr>
        <w:t>[20]</w:t>
      </w:r>
      <w:r>
        <w:t xml:space="preserve">, and a substantial methodological literature trains ElasticNet, LASSO, or random-forest predictors against TIDE-derived responder calls on the same expression matrix </w:t>
      </w:r>
      <w:r>
        <w:rPr>
          <w:vertAlign w:val="superscript"/>
        </w:rPr>
        <w:t>[21,22]</w:t>
      </w:r>
      <w:r>
        <w:t>. The circular construction quantified here therefore corresponds to an instantiated practice, and the design rules of Table 9 apply to this literature segment with the same force as to clinical-endpoint benchmarking.</w:t>
      </w:r>
    </w:p>
    <w:p>
      <w:pPr>
        <w:pStyle w:val="Heading2"/>
      </w:pPr>
      <w:r>
        <w:t>Design Choice 2: Feature Selection Determines Biological Interpretation</w:t>
      </w:r>
    </w:p>
    <w:p>
      <w:pPr>
        <w:jc w:val="both"/>
      </w:pPr>
      <w:r>
        <w:t>Within identical ElasticNet models on Hugo 2016 (n = 28, RECIST) I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(5,000 full-pipeline shuffles, frozen hyperparameters; tested statistic = perm-obs 0.528/0.497, Table S11)</w:t>
            </w:r>
          </w:p>
        </w:tc>
        <w:tc>
          <w:tcPr>
            <w:tcW w:type="dxa" w:w="2160"/>
          </w:tcPr>
          <w:p>
            <w:r>
              <w:rPr>
                <w:sz w:val="16"/>
              </w:rPr>
              <w:t>0.2853</w:t>
            </w:r>
          </w:p>
        </w:tc>
        <w:tc>
          <w:tcPr>
            <w:tcW w:type="dxa" w:w="2160"/>
          </w:tcPr>
          <w:p>
            <w:r>
              <w:rPr>
                <w:sz w:val="16"/>
              </w:rPr>
              <w:t>0.3635</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recognized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0.083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The newly executed clinical replications return HIGH as well (GSE274975 RECIST 0.750 vs null mean 0.488; IMmotion150 RECIST 0.741 vs 0.492; STAD_PRJEB25780 RECIST 0.779 vs 0.601): across these cohorts CDS does not separate circular from genuine endpoints, and the binding control is the declaration of endpoint-defining genes, with the continuous null-referenced score as a companion rather than a gate (Limitations).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my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not-computed (n.c.) ElasticNet-MI/Var cells were completed with frozen hyperparameters and merged, so all 36 of 36 cells carry a recorded permutation p, with within-cohort BH families (six cells each) recomputed; XGBoost is excluded from this matrix and is reported separately in Methods.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 trainable method's signal becomes detectable, consistent with the power analysis. IMPRES on Hugo carries the Carter et al. (2019) training-set-bias caveat </w:t>
      </w:r>
      <w:r>
        <w:rPr>
          <w:vertAlign w:val="superscript"/>
        </w:rPr>
        <w:t>[28]</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 GEP permutation-significant there at p = 0.017 while TIDE sits inside its null envelope at p = 0.952, Table S11),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on Hugo 2016: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centered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Endpoint-gene dependency check</w:t>
            </w:r>
          </w:p>
        </w:tc>
        <w:tc>
          <w:tcPr>
            <w:tcW w:type="dxa" w:w="2880"/>
          </w:tcPr>
          <w:p>
            <w:r>
              <w:rPr>
                <w:sz w:val="16"/>
              </w:rPr>
              <w:t>Not performed</w:t>
            </w:r>
          </w:p>
        </w:tc>
        <w:tc>
          <w:tcPr>
            <w:tcW w:type="dxa" w:w="2880"/>
          </w:tcPr>
          <w:p>
            <w:r>
              <w:rPr>
                <w:sz w:val="16"/>
              </w:rPr>
              <w:t>Declare endpoint-defining genes (binding); report CDS continuous value against a cohort-matched null (optional companion; categorical labels advisory)</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 its negative-control role is specific to endpoint-gene overlap, not overall accuracy;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†Clinical-endpoint trainable cells use 2,000–5,000 full-pipeline shuffles (each shuffle re-fits the pipeline, ≈60–90 s; the eight non-borderline clinical trainable cells were extended to this range on 2026-09-18, four cells to 5,000; Gide ElasticNet-MI 5,000 under the borderline-cell protocol; Gide ElasticNet-Var 500 — Table S11); the two Riaz cytolytic trainable cells use 500–1,000 (both reach p ≤ 0.002);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tumor type the endpoint-switch collapse should shrink toward the method gap even at adequate n — and the 36-cell matrix and CDS nulls make it checkable. The TCGA anchor is prognostic, its SKCM–COAD contrast partially conflates cancer type with metastatic-versus-primary composition (the SKCM signal is metastatic-carried; Table S15), and the multivariate adjustment — now run for BRCA and LUAD — attenuates the protective ordering outside melanoma (BRCA 1/12, adverse-directed; LUAD 0/12; Table S15), so it conditions rather than demonstrates the account, and element (i) of the predictive account rests on the executed replications plus this conditional anchor rather than on the anchor alone. The account also predicts that two clinical definitions of the same construct should barely move predictions; the Liu 2019 RECIST-versus-DCB contrast provides direct support for this (largest endpoint-switch Δ = 0.083 across six methods, below the largest within-cohort method gap; Table S26), while remaining a single-cohort, complete-case comparison. SPATBench asks a different question from existing benchmarks </w:t>
      </w:r>
      <w:r>
        <w:t>[15–18]</w:t>
      </w:r>
      <w:r>
        <w:t xml:space="preserve">,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w:t>
      </w:r>
    </w:p>
    <w:p>
      <w:pPr>
        <w:jc w:val="both"/>
      </w:pPr>
      <w:r>
        <w:t>The mechanism ports across four further cohorts with executed endpoint-switch replications (Liu 2019, melanoma; GSE274975, NSCLC; IMmotion150, renal cell carcinoma; STAD_PRJEB25780, gastric cancer), alongside the IMvigor210 cytolytic-to-RECIST switch on 297 urothelial-carcinoma patients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tumor type (five cancer types now carry executed external replications; Supplementary Tables S19, S20, S27, S28 and S29); the published-study audit (Tables S17, S20) establishes cross-study consistency of the reading on the computable cohorts.</w:t>
      </w:r>
    </w:p>
    <w:p>
      <w:pPr>
        <w:jc w:val="both"/>
      </w:pPr>
      <w:r>
        <w:t xml:space="preserve">Of the Table 9 rules, the genuinely new ones from this study are requiring a clinical endpoint alongside any gene-defined surrogate, declaring endpoint-defining genes, and the null-referenced companion reading; the remaining rows reinforce reporting standards codified for prediction models and biomarker studies (REMARK, TRIPOD, PROBAST) </w:t>
      </w:r>
      <w:r>
        <w:t>[29–31]</w:t>
      </w:r>
      <w:r>
        <w:t xml:space="preserve">. Beyond immunotherapy, any transcriptomic prediction task using a gene-defined surrogate carries the same circularity risk, and CDS generalizes to any expression matrix paired with a binary label. I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 xml:space="preserve">The cytolytic → RECIST collapse (largest Δ = 0.520, ElasticNet-Var) generalizes: any molecular surrogate operationally defined by genes in the feature space creates a circular prediction task. The field audit (Results; Supplementary Table S30) locates this construction in the published literature: the immunophenoscore was derived against a cytolytic-activity median split </w:t>
      </w:r>
      <w:r>
        <w:rPr>
          <w:vertAlign w:val="superscript"/>
        </w:rPr>
        <w:t>[20]</w:t>
      </w:r>
      <w:r>
        <w:t xml:space="preserve">, and TIDE-derived responder calls serve as training labels for response predictors across tumor types </w:t>
      </w:r>
      <w:r>
        <w:rPr>
          <w:vertAlign w:val="superscript"/>
        </w:rPr>
        <w:t>[21,22]</w:t>
      </w:r>
      <w:r>
        <w:t>. The clinical-development lineage, by contrast, evaluates on clinical endpoints — which is precisely why the two segments must be reported separately, and why the clinical-endpoint rule of Table 9 binds both. The corresponding rules are distilled in Table 9 (clinical endpoint required; surrogates labeled with their defining genes; CDS computed; non-learning baselines included); one rule is not captured there: for endpoints with CDS &gt; 0.80, a conservative operational HIGH threshold, assume ML methods are learning the endpoint-defining genes until independent clinical-endpoint validation proves otherwise; genuine endpoints in Table 3 reach null maxima of 0.80–0.87, so this rule deliberately trades false alarms for safety.</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My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[28]</w:t>
      </w:r>
      <w:r>
        <w:t xml:space="preserve">; the inherited feature-selection-bias caveat is in Limitations. Benchmark studies should therefore report each method's known developmental limitations alongside performance. I note that benchmark unreliability does not imply that a biomarker is clinically useless — a predictor with wide CIs at n = 28 may still capture genuine biology that a larger cohort would confirm. The point is narrower: at current sample sizes, one cannot </w:t>
      </w:r>
      <w:r>
        <w:rPr>
          <w:i/>
        </w:rPr>
        <w:t>distinguish</w:t>
      </w:r>
      <w:r>
        <w:t xml:space="preserve"> reliable from unreliable benchmarks by AUROC alone, and the design choices documented here are the reason. The GEP's subsequent clinical development proceeded despite the same small-cohort limitations documented here — trial design, not retrospective AUROC benchmarking, was the arbiter of utility.</w:t>
      </w:r>
    </w:p>
    <w:p>
      <w:pPr>
        <w:pStyle w:val="Heading2"/>
      </w:pPr>
      <w:r>
        <w:t>Independent Prognostic Evidence: TCGA Immune-Signature Gradient and Its Composition Confound</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tumor samples (n = 426 of 444; 367 metastatic, 76 primary); the restored all-tumor policy yields n = 441 patients (212 deaths), with </w:t>
      </w:r>
      <w:r>
        <w:rPr>
          <w:b/>
        </w:rPr>
        <w:t>11/12 immune signatures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The multivariate adjustment now extends to BRCA and LUAD, and the protective pattern does not survive it: BRCA retains 1/12 (Myeloid, adverse direction, HR 1.154), LUAD 0/12 (Table S15; COAD's refetched GDC matrix was not retained in the archive, so its multivariate model is not reported) — the univariate protective ordering outside melanoma is largely absorbed by age- and stage-composition. Second, the local COAD expression file was not TCGA-formatted and could not support the archived COAD result (n = 588, 119 deaths), so v33 withdrew it and re-acquired the cohort from the GDC current index (STAR counts, GENCODE v36, primary tumors;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within each cancer type (12 tests per cancer type).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and — as the multivariate adjustment above shows — absorbed almost entirely by age- and stage-composition outside melanoma).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[32]</w:t>
      </w:r>
      <w:r>
        <w:t>. Full methods in Supplementary Note S4.</w:t>
      </w:r>
    </w:p>
    <w:p>
      <w:pPr>
        <w:pStyle w:val="Heading2"/>
      </w:pPr>
      <w:r>
        <w:t>CDS: Current Status and Validation Roadmap</w:t>
      </w:r>
    </w:p>
    <w:p>
      <w:pPr>
        <w:jc w:val="both"/>
      </w:pPr>
      <w:r>
        <w:t>CDS is itself subject to the same validation standards I recommend for benchmarking tools — an epistemological tension I acknowledge. Its current status:</w:t>
      </w:r>
    </w:p>
    <w:p>
      <w:pPr>
        <w:pStyle w:val="ListBullet"/>
      </w:pPr>
      <w:r>
        <w:t>**What CDS can do:** Make the circular construction explicit — declaring endpoint-defining genes identifies circularity by construction, program-agnostic across endpoint types (Supplementary Table S18); this rule, not the score, is the deliverable.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(with the notable exception of STAD_PRJEB25780 gastric cancer, where RECIST CDS 0.779 sits above its null mean of 0.601, consistent with the declared genes genuinely tracking response) (an independent 10-replicate null run preserves the ordering — Tables S17/S19/S20); the Chowell and Liang multi-cohort designs remain unverified, and the Van Allen CTLA-4 cohort [33]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C3 saturates at 1.000 on every real cohort and all 60 pseudo-endpoints (Table S18), leaving C1 and C2 as the sole discrimination sources; on genuine clinical endpoints the resulting readings are biology-dependent and span the scale — above the null in Gide melanoma (0.852 vs null max 0.800) and the four executed replication cohorts (0.721–0.779), yet below the null mean in IMvigor210 UC (0.434 vs 0.492) — so a HIGH clinical-endpoint reading cannot be read as evidence of circularity;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(executed on Liu 2019, IMvigor210, GSE274975, IMmotion150 and STAD_PRJEB25780; the remaining pre-screened candidate, NIVACTOR, is microarray-based).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at n ≤ 43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five independent cohorts — Liu 2019 (melanoma, n = 122; Table S19), IMvigor210 (bladder carcinoma, n = 297; Table S20), GSE274975 (NSCLC, n = 61; Table S27), IMmotion150 (ccRCC, n = 165; Table S28) and STAD_PRJEB25780 (gastric cancer, n = 78; Table S29)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0.083 (Table S26), so the demonstrated collapse is attributable to the circularity channel rather than to clinical-definition disagreement. The executed external evidence spans five cancer types, and the remaining boundary is cohort availability rather than design. Two data realities constrain scope: GSE274975 keeps its clinical endpoints in the source publication's supplementary table rather than in any repository metadata field, and IMmotion150's harmonization pools the atezolizumab monotherapy and combination arms. The remaining pre-screened candidate (NIVACTOR, HNSCC) is microarray-based with 12 responders and was set aside pending a per-patient response table outside PDF supplementary material. The IMvigor210 replication (n = 297, bladder carcinoma) already demonstrates that the framework generalizes beyond melanoma when the data exist.</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IMPRES, GEP and TIDE require HGNC-mapped features; the originally archived Jung 2019 matrix carried Ensembl identifiers without such mapping, and the HGNC-mapped matrix now used for all methods restores their evaluation.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prognostic evidence (2,491 patients, 4 cancer types). The fully controlled within-patient endpoint-switch contrast is Riaz melanoma, while the surrogate-versus-clinical inflation pattern is observed in all five executed cancer types; CDS calibration rests on the benchmark cohorts and their nulls.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[28];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GSE274975) and cBioPortal (mel_iatlas_gide_2019, blca_iatlas_imvigor210_2017, mel_iatlas_liu_2019, rcc_iatlas_immotion150_2018) and ENA (PRJEB25780). Preprocessed expression matrices, all per-cell permutation outputs (results/benchmark/v33/nc_cells/ and nc_cells_ext/)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Protocol timeline: the pre-declared replication protocols are timestamped in the repository history — the Liu 2019 protocol and the GSE274975 pre-declared pipeline were committed at repository inception (2026-09-16, commit a745d2e), the IMmotion150 and STAD protocols on 2026-09-19, and the GSE274975 executed variant on 2026-09-20 (after endpoint recovery; Table S19); all replication outputs are archived in the same history and in the Zenodo record published 2026-09-22 (DOI: 10.5281/zenodo.22746254).</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GSE135222 and GSE274975; cBioPortal studies mel_iatlas_gide_2019, mel_iatlas_liu_2019, blca_iatlas_imvigor210_2017 and rcc_iatlas_immotion150_2018; TCGA via the GDC), analyzed under the terms of their original publications. Sex- and gender-based analyses were not performed.</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[34]</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[35]</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[36]</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[34]</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I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five benchmark cohorts’ expression data were standardized to log2(FPKM + 1); the executed external replications use cohort-appropriate normalization (log2(CPM + 1) for the GSE274975 raw counts; log2(TPM + 1) for the IMmotion150 iAtlas profile; Supplementary Tables S27 and S28). Patient-stratified k-fold cross-validation used k = 5 for all five cohorts except the Riaz RECIST endpoint, where the small responder count (9 of 42) constrained the design to k = 2. To assess k-fold robustness for the Riaz RECIST endpoint, I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[37]</w:t>
      </w:r>
      <w:r>
        <w:t xml:space="preserve">. Immune deconvolution signatures (14 cell types, 43 unique genes; Supplementary Table S10) </w:t>
      </w:r>
      <w:r>
        <w:rPr>
          <w:vertAlign w:val="superscript"/>
        </w:rPr>
        <w:t>[38]</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I report AUROC as the primary metric with 95% bootstrap confidence intervals (1,000 iterations) </w:t>
      </w:r>
      <w:r>
        <w:rPr>
          <w:vertAlign w:val="superscript"/>
        </w:rPr>
        <w:t>[39]</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I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within each cohort-endpoint family (six methods per family; sensitivity to alternative family definitions in Supplementary Table S21) </w:t>
      </w:r>
      <w:r>
        <w:rPr>
          <w:vertAlign w:val="superscript"/>
        </w:rPr>
        <w:t>[40]</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This re-run is reported as exploratory — not matrix-level — evidence: XGBoost does not enter the 36-cell matrix because the development-phase prediction tables were not retained under the current protocol, its permutation resolution (1,000 shuffles) falls below the Table 9 floor for trainable cells, and its family structure (seven cells) differs from the pre-registered six-cell families; the detectability-onset reading at n = 73 is carried by the two pre-registered ElasticNet variants, and the XGBoost re-run is consistent with — but not constitutive of — that reading.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my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The analytic DeLong covariance method </w:t>
      </w:r>
      <w:r>
        <w:rPr>
          <w:vertAlign w:val="superscript"/>
        </w:rPr>
        <w:t>[41]</w:t>
      </w:r>
      <w:r>
        <w:t xml:space="preserve"> was considered but the bootstrap version was used throughout — I refer to these as paired bootstrap tests, not DeLong tests). The Bonferroni threshold (p &lt; 0.05/36 ≈ 0.0014) is unattainable for the trainable methods at their recorded shuffle resolutions — I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I computed the range of AUROC values attributable to each source on the Riaz 2017 cohort: (a) between-endpoint ΔAUROC for each method; (b) between-method ΔAUROC within each endpoint; (c) between-feature-selection ΔAUROC within ElasticNet. I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IMmotion150: cytolytic [0.862, 0.942] vs RECIST [0.569, 0.750]); in GSE274975 (n = 61) the GEP intervals touch (cytolytic [0.777, 0.953] vs RECIST [0.432, 0.787]) while the point estimates separate cleanly.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label. </w:t>
      </w:r>
      <w:r>
        <w:rPr>
          <w:b/>
        </w:rPr>
        <w:t>C3 (40%):</w:t>
      </w:r>
      <w:r>
        <w:t xml:space="preserve"> min(1, R/10), where R is the ratio of the 90th-percentile MI of the top-500-variance features to the median MI of 500 random features. The composite is CDS = 0.3·C1n + 0.3·C2 + 0.4·C3. On real bulk-tumor cohorts C3 saturates at 1.000 (Limitations), so the released composite reduces to CDS = 0.4 + 0.3·(C1n + C2) — an affine transform of two standard association statistics (mutual information and |Spearman ρ|); the validated reading is therefore the continuous value against a cohort-matched random-label null, not the weighting itself.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[42]</w:t>
      </w:r>
      <w:r>
        <w:t xml:space="preserve">. I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I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my three real endpoints, I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my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I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I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I deliberately ship a single threshold set (HIGH &gt; 0.70, MODERATE 0.30–0.70, LOW ≤ 0.30) — identical in the manuscript, in the released pip package, and in all archived result files — so that users replicating my analysis obtain exactly my labels. A more conservative HIGH threshold of 0.80 (false-positive rate 0/30 on the synthetic null) is reported for transparency and will be adopted in CDS v2.0 together with a permutation-based C3. I recommend reporting the continuous CDS value; categorical risk assignments are advisory.</w:t>
      </w:r>
    </w:p>
    <w:p>
      <w:pPr>
        <w:jc w:val="both"/>
      </w:pPr>
      <w:r>
        <w:t xml:space="preserve">To characterize what CDS measures, I generated 30 pseudo-endpoints per cohort from real gene programs </w:t>
      </w:r>
      <w:r>
        <w:rPr>
          <w:vertAlign w:val="superscript"/>
        </w:rPr>
        <w:t>[43]</w:t>
      </w:r>
      <w:r>
        <w:t xml:space="preserve"> — ECM/stromal (collagens, fibroblast, endothelial, pericyte and basement-membrane markers), tumor-purity/proliferation (cell cycle, E2F/MYC targets, glycolysis, oxidative phosphorylation) and lineage/signalling programs (melanocytic differentiation, keratinocyte basal, hypoxia, interferon, antigen presentation) — each dichotomized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I recognize the inherent tension: CDS is itself subject to the same validation standards I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[44]</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I note that Carter et al. (2019) identified potential training-set bias in the original IMPRES feature selection (34% non-random repeats) </w:t>
      </w:r>
      <w:r>
        <w:rPr>
          <w:vertAlign w:val="superscript"/>
        </w:rPr>
        <w:t>[28]</w:t>
      </w:r>
      <w:r>
        <w:t>. The extent to which IMPRES's Hugo performance reflects genuine biology versus inherited feature selection bias is unresolved; I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 / GSE274975</w:t>
            </w:r>
          </w:p>
        </w:tc>
        <w:tc>
          <w:tcPr>
            <w:tcW w:type="dxa" w:w="2880"/>
          </w:tcPr>
          <w:p>
            <w:r>
              <w:rPr>
                <w:sz w:val="16"/>
              </w:rPr>
              <w:t>GEO</w:t>
            </w:r>
          </w:p>
        </w:tc>
        <w:tc>
          <w:tcPr>
            <w:tcW w:type="dxa" w:w="2880"/>
          </w:tcPr>
          <w:p>
            <w:r>
              <w:rPr>
                <w:sz w:val="16"/>
              </w:rPr>
              <w:t>GSE78220; GSE91061; GSE100797; GSE135222; GSE274975</w:t>
            </w:r>
          </w:p>
        </w:tc>
      </w:tr>
      <w:tr>
        <w:tc>
          <w:tcPr>
            <w:tcW w:type="dxa" w:w="2880"/>
          </w:tcPr>
          <w:p>
            <w:r>
              <w:rPr>
                <w:sz w:val="16"/>
              </w:rPr>
              <w:t>mel/blca/liu/rcc iatlas cohorts</w:t>
            </w:r>
          </w:p>
        </w:tc>
        <w:tc>
          <w:tcPr>
            <w:tcW w:type="dxa" w:w="2880"/>
          </w:tcPr>
          <w:p>
            <w:r>
              <w:rPr>
                <w:sz w:val="16"/>
              </w:rPr>
              <w:t>cBioPortal</w:t>
            </w:r>
          </w:p>
        </w:tc>
        <w:tc>
          <w:tcPr>
            <w:tcW w:type="dxa" w:w="2880"/>
          </w:tcPr>
          <w:p>
            <w:r>
              <w:rPr>
                <w:sz w:val="16"/>
              </w:rPr>
              <w:t>mel_iatlas_gide_2019; blca_iatlas_imvigor210_2017; mel_iatlas_liu_2019; rcc_iatlas_immotion150_2018</w:t>
            </w:r>
          </w:p>
        </w:tc>
      </w:tr>
      <w:tr>
        <w:tc>
          <w:tcPr>
            <w:tcW w:type="dxa" w:w="2880"/>
          </w:tcPr>
          <w:p>
            <w:r>
              <w:rPr>
                <w:sz w:val="16"/>
              </w:rPr>
              <w:t>PRJEB25780 (gastric, TIGER portal)</w:t>
            </w:r>
          </w:p>
        </w:tc>
        <w:tc>
          <w:tcPr>
            <w:tcW w:type="dxa" w:w="2880"/>
          </w:tcPr>
          <w:p>
            <w:r>
              <w:rPr>
                <w:sz w:val="16"/>
              </w:rPr>
              <w:t>ENA</w:t>
            </w:r>
          </w:p>
        </w:tc>
        <w:tc>
          <w:tcPr>
            <w:tcW w:type="dxa" w:w="2880"/>
          </w:tcPr>
          <w:p>
            <w:r>
              <w:rPr>
                <w:sz w:val="16"/>
              </w:rPr>
              <w:t>PRJEB25780</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**Table S26:** Clinical–clinical response-definition contrast on Liu 2019 (RECIST vs PFS-derived DCB)</w:t>
      </w:r>
    </w:p>
    <w:p>
      <w:pPr>
        <w:pStyle w:val="ListBullet"/>
      </w:pPr>
      <w:r>
        <w:t>**Table S27:** Executed NSCLC replication — GSE274975 (Poddubskaya 2024)</w:t>
      </w:r>
    </w:p>
    <w:p>
      <w:pPr>
        <w:pStyle w:val="ListBullet"/>
      </w:pPr>
      <w:r>
        <w:t>**Table S28:** Fourth-cancer-type replication — IMmotion150 ccRCC (McDermott 2018)</w:t>
      </w:r>
    </w:p>
    <w:p>
      <w:pPr>
        <w:pStyle w:val="ListBullet"/>
      </w:pPr>
      <w:r>
        <w:t>**Table S29:** Fifth-cancer-type replication — gastric cancer PRJEB25780 (TIGER portal)</w:t>
      </w:r>
    </w:p>
    <w:p>
      <w:pPr>
        <w:pStyle w:val="ListBullet"/>
      </w:pPr>
      <w:r>
        <w:t>**Table S30:** Field audit — published studies training or selecting immunotherapy-response predictors against gene-expression-derived response labels</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trainable cells show obs/perm-obs (the p value tests the perm-obs statistic under frozen hyperparameters, Table S11);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(trainable cells: obs/perm-obs)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Corney, M., Fouché, A., Bouget, V., and Duquesne, J. (2026). A transcriptomic benchmark for foundation models in immunology and inflammation drug development. *Learning Meaningful Representations of Life (LMRL) Workshop at ICLR 2026* (poster).</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Charoentong, P., Finotello, F., Angelova, M., Mayer, C., Efremova, M., Rieder, D., Hackl, H., and Trajanoski, Z. (2017). Pan-cancer immunogenomic analyses reveal genotype-immunophenotype relationships and predictors of response to checkpoint blockade. *Cell Rep*, 18, 248–262. doi:10.1016/j.celrep.2016.12.019</w:t>
      </w:r>
    </w:p>
    <w:p>
      <w:pPr>
        <w:pStyle w:val="ListNumber"/>
      </w:pPr>
      <w:r>
        <w:t>Wang, L., Wu, H., Chen, Y., Wang, G., Ren, S., Zhang, Y., Zhou, J., He, J., Chen, J., and Zhang, X. (2025). Single-cell RNA sequencing reveals neutrophil differentiation-related genes for immunotherapy response prediction in colorectal cancer. *BMC Cancer*, 25, 1925. doi:10.1186/s12885-025-15355-7</w:t>
      </w:r>
    </w:p>
    <w:p>
      <w:pPr>
        <w:pStyle w:val="ListNumber"/>
      </w:pPr>
      <w:r>
        <w:t>Nam, D.-Y., and Rhee, J.-K. (2024). Identifying microRNAs associated with tumor immunotherapy response using an interpretable machine learning model. *Sci Rep*, 14, 6172. doi:10.1038/s41598-024-56843-3</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Poddubskaya, E., Suntsova, M., Lyadova, M., Luppov, D., Guryanova, A., Lyadov, V., Garazha, A., Sorokin, M., et al. (2024). Biomarkers of success of anti-PD-(L)1 immunotherapy for non-small cell lung cancer derived from RNA- and whole-exome sequencing: results of a prospective observational study on a cohort of 85 patients. *Front. Immunol.* 15, 1493877. doi:10.3389/fimmu.2024.1493877</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McDermott, D.F., Huseni, M.A., Atkins, M.B., Motzer, R.J., Rini, B.I., Escudier, B., Fong, L., Joseph, R.W., Pal, S.K., et al. (2018). Clinical activity and molecular correlates of response to atezolizumab alone or in combination with bevacizumab versus sunitinib in advanced renal cell carcinoma. *Nat. Med.* 24, 749–757. doi:10.1038/s41591-018-0053-3</w:t>
      </w:r>
    </w:p>
    <w:p>
      <w:pPr>
        <w:pStyle w:val="ListNumber"/>
      </w:pPr>
      <w:r>
        <w:t>Kim, S.T., Cristescu, R., Bass, A.J., Kim, K.-M., Odegaard, J.I., Kim, K., Liu, X.Q., Sher, X., Jung, H., Lee, M., et al. (2018). Comprehensive molecular characterization of clinical responses to PD-1 inhibition in metastatic gastric cancer. *Nat Med*, 24, 1449–1458. doi:10.1038/s41591-018-0101-z</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Collins, G.S., Reitsma, J.B., Altman, D.G., and Moons, K.G.M. (2015). Transparent reporting of a multivariable prediction model for individual prognosis or diagnosis (TRIPOD): the TRIPOD statement. *BMC Med*, 13, 1. doi:10.1186/s12916-014-0241-z</w:t>
      </w:r>
    </w:p>
    <w:p>
      <w:pPr>
        <w:pStyle w:val="ListNumber"/>
      </w:pPr>
      <w:r>
        <w:t>Wolff, R.F., Moons, K.G.M., Riley, R.D., Whiting, P.F., Westwood, M., Collins, G.S., Reitsma, J.B., Kleijnen, J., and Mallett, S. (2019). PROBAST: a tool to assess the risk of bias and applicability of prediction model studies. *Ann Intern Med*, 170, 51–58. doi:10.7326/M18-1376</w:t>
      </w:r>
    </w:p>
    <w:p>
      <w:pPr>
        <w:pStyle w:val="ListNumber"/>
      </w:pPr>
      <w:r>
        <w:t>McShane, L.M., Altman, D.G., Sauerbrei, W., Taube, S.E., Gion, M., and Clark, G.M. (2005). REporting recommendations for tumour MARKer prognostic studies (REMARK). *Br J Cancer*, 93, 387–391. doi:10.1038/sj.bjc.6602678</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Efron, B. and Tibshirani, R.J. (1993). *An Introduction to the Bootstrap*. Chapman &amp; Hall, New York.</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Zhixian Huang</dc:creator>
  <cp:keywords/>
  <dc:description>generated by python-docx</dc:description>
  <cp:lastModifiedBy>Zhixian Huang</cp:lastModifiedBy>
  <cp:revision>1</cp:revision>
  <dcterms:created xsi:type="dcterms:W3CDTF">2013-12-23T23:15:00Z</dcterms:created>
  <dcterms:modified xsi:type="dcterms:W3CDTF">2013-12-23T23:15:00Z</dcterms:modified>
  <cp:category/>
</cp:coreProperties>
</file>