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Methodological choices can outweigh algorithmic choices in transcriptomic immunotherapy prediction</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Abstract</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Switching from a molecular surrogate (cytolytic activity) to a clinical endpoint (RECIST v1.1) in the same patients collapses every method whose features overlap the endpoint-defining genes (ElasticNet-Var 0.985 to 0.465) — a point-estimate effect larger than the largest within-cohort method gap — while two clinical definitions on identical patients move predictions by at most 0.083. The collapse replicates in executed cohorts spanning five cancer types. The Circularity Detection Score flags the circular endpoint far above its null, but its labels prove non-specific. No trainable method survives FDR correction at n ≤ 43; the first detectable signal appears at n = 73. These results establish which benchmarking decisions, rather than which algorithms, determine conclusions.</w:t>
      </w:r>
    </w:p>
    <w:p>
      <w:pPr>
        <w:jc w:val="both"/>
      </w:pPr>
      <w:r>
        <w:t xml:space="preserve">Immune checkpoint inhibitors (ICIs) have transformed oncology </w:t>
      </w:r>
      <w:r>
        <w:rPr>
          <w:vertAlign w:val="superscript"/>
        </w:rPr>
        <w:t>[1,2]</w:t>
      </w:r>
      <w:r>
        <w:t xml:space="preserve">, yet only 20–30% of unselected patients respond, driving intensive efforts to develop transcriptomic predictors of response </w:t>
      </w:r>
      <w:r>
        <w:t>[3–6]</w:t>
      </w:r>
      <w:r>
        <w:t xml:space="preserve">. Multiple gene-expression-based methods have been proposed —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set of machine learning (ML) models </w:t>
      </w:r>
      <w:r>
        <w:t>[6–8]</w:t>
      </w:r>
      <w:r>
        <w:t xml:space="preserve"> — each evaluated on different cohorts, preprocessing pipelines, response definitions and protocols. The result is a literature in which nearly every method appears superior within its own developmental context </w:t>
      </w:r>
      <w:r>
        <w:rPr>
          <w:vertAlign w:val="superscript"/>
        </w:rPr>
        <w:t>[9,10]</w:t>
      </w:r>
      <w:r>
        <w:t xml:space="preserve">. Three structural features make method rankings unreliable here: (i) public immunotherapy cohorts with pre-treatment RNA-seq are small (typically n &lt; 50) </w:t>
      </w:r>
      <w:r>
        <w:t>[11–13]</w:t>
      </w:r>
      <w:r>
        <w:t xml:space="preserve">; (ii) response can be defined by clinical endpoints (RECIST v1.1), molecular surrogates (cytolytic activity </w:t>
      </w:r>
      <w:r>
        <w:rPr>
          <w:vertAlign w:val="superscript"/>
        </w:rPr>
        <w:t>[14]</w:t>
      </w:r>
      <w:r>
        <w:t>), or progression-based endpoints (PFS), each capturing different biology; and (iii) design choices such as feature selection are rarely treated as experimental variables.</w:t>
      </w:r>
    </w:p>
    <w:p>
      <w:pPr>
        <w:jc w:val="both"/>
      </w:pPr>
      <w:r>
        <w:t xml:space="preserve">Recent benchmarks hold methodology fixed and compare methods across cohorts </w:t>
      </w:r>
      <w:r>
        <w:t>[15–18]</w:t>
      </w:r>
      <w:r>
        <w:t xml:space="preserve">, and a re-analysis of seventeen tumor-microenvironment scoring methods found none reliable across cancer types </w:t>
      </w:r>
      <w:r>
        <w:rPr>
          <w:vertAlign w:val="superscript"/>
        </w:rPr>
        <w:t>[19]</w:t>
      </w:r>
      <w:r>
        <w:t xml:space="preserve">. I take the orthogonal approach: holding methods fixed and systematically varying methodological design choices, asking which design decisions — rather than which algorithms — determine benchmark outcomes. The question is not hypothetical: the immunophenoscore, a widely applied response surrogate, was derived by machine learning on TCGA data partitioned by median cytolytic activity (GZMA/PRF1) within each cancer type </w:t>
      </w:r>
      <w:r>
        <w:rPr>
          <w:vertAlign w:val="superscript"/>
        </w:rPr>
        <w:t>[20]</w:t>
      </w:r>
      <w:r>
        <w:t xml:space="preserve">, and a substantial literature trains predictors against TIDE-derived responder calls </w:t>
      </w:r>
      <w:r>
        <w:rPr>
          <w:vertAlign w:val="superscript"/>
        </w:rPr>
        <w:t>[21,22]</w:t>
      </w:r>
      <w:r>
        <w:t xml:space="preserve"> (field audit in Results; Supplementary Table S30).</w:t>
      </w:r>
    </w:p>
    <w:p>
      <w:pPr>
        <w:jc w:val="both"/>
      </w:pPr>
      <w:r>
        <w:t>SPATBench, the framework and benchmark resource presented here, delivers four contributions: an open-source benchmark enforcing patient-stratified cross-validation and standardized preprocessing across six prediction methods and five immunotherapy-treated cohorts (196 patients; 169 melanoma); empirical isolation and quantification of three design choices — response definition, feature selection, and endpoint circularity — with effect-size comparisons against method-level variation; a reporting convention in which the binding rule for pre-benchmarking endpoint assessment is the declaration of endpoint-defining genes, any gene-defined surrogate being circular by construction, with the Circularity Detection Score (CDS) as a null-referenced quantitative companion; and a complete permutation test matrix showing that no trainable method is distinguishable from label shuffling on any clinical endpoint at n ≤ 43 after FDR correction, with minimum-sample-size standards derived from power analysis (Supplementary Table S31). All evidence is retrospective on public cohorts; the response-definition result is demonstrated in five cancer types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(HGNC-mapped). One patient lacked RECIST annotation and is excluded only from the RECIST endpoint.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 expression proxy)</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(ElasticNet-Var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0.148 (IMPRES vs ElasticNet-Var); the largest between-endpoint effect (0.520) exceeds it 3.5× in point estimate (Supplementary Table S14); the paired bootstrap difference is positive in 90% (frozen) and 84% (tuning) of resamples but is not separable from zero at 95% confidence at n = 42 (Methods). The contrast uses the seed-42 benchmark split; across 10 stratified seeds the k = 2 RECIST mean is 0.389 ± 0.105, and re-running with k = 3 and k = 5 keeps all RECIST AUROC below 0.60 (k = 3: 0.397 ± 0.064; k = 5: 0.398 ± 0.088; Supplementary Table S16; cytolytic-endpoint seed variability in Supplementary Table S12) — the collapse is not an artifact of the k = 2 constraint. Mechanistically, the cytolytic score is operationally defined by GZMA and PRF1 expression </w:t>
      </w:r>
      <w:r>
        <w:rPr>
          <w:vertAlign w:val="superscript"/>
        </w:rPr>
        <w:t>[14]</w:t>
      </w:r>
      <w:r>
        <w:t>: learning methods predict it from co-expressed immune-infiltration genes, and RECIST — not gene-defined — removes that leverage.</w:t>
      </w:r>
    </w:p>
    <w:p>
      <w:pPr>
        <w:jc w:val="both"/>
      </w:pPr>
      <w:r>
        <w:t>The effect replicates under pre-declared protocols in five cancer types through executed external replications (cohort characteristics, treatment classes, endpoints and responder fractions in Supplementary Tables S19, S20, S27, S28 and S29). On Liu 2019 (melanoma, n = 122, independent of all benchmark cohorts), the cytolytic surrogate yields GEP 0.959 and ElasticNet-MI 0.956 versus RECIST 0.535 and 0.538 (Δ = +0.425/+0.418). On IMvigor210 (bladder carcinoma, n = 297), the largest Δ is 0.354 (GEP 0.967 → 0.613) against a same-cohort method gap of 0.180, with CDS separating the endpoints (0.953 vs 0.434). On GSE274975 (NSCLC, n = 61), the surrogate inflates GEP to 0.881 (p = 2 × 10⁻⁵) while PD-L1 remains the only fixed scorer surviving permutation on RECIST (0.690, p = 0.014). On IMmotion150 (renal cell carcinoma, n = 165), the surrogate yields GEP 0.905 (CDS 0.945) versus RECIST 0.662. On gastric cancer PRJEB25780 (n = 78), RECIST yields the strongest replication signal (GEP 0.744, BH q = 0.001) and the surrogate inflates GEP to 0.922. In every cohort the clinical endpoint's CDS sits below the surrogate's, and IMPRES — with no gene overlap — shows no surrogate inflation in any cohort.</w:t>
      </w:r>
    </w:p>
    <w:p>
      <w:pPr>
        <w:jc w:val="both"/>
      </w:pPr>
      <w:r>
        <w:t>The corresponding non-circular contrast is measured directly. Two public cohorts carry two clinical response definitions on the same patients. On Liu 2019, durable clinical benefit (DCB; progression-free at ≥6 months) versus RECIST moves predictions by at most 0.083 (ElasticNet-Var; κ = 0.669); on IMmotion150, the same construction moves predictions by at most 0.082 (IMPRES, 0.545 → 0.462) — both below the within-cohort method gaps (0.195 and 0.159) and roughly sixfold below the circular collapse (Supplementary Table S26). The collapse is therefore attributable to gene-defined surrogacy rather than to disagreement between progression-anchored clinical definitions.</w:t>
      </w:r>
    </w:p>
    <w:p>
      <w:pPr>
        <w:jc w:val="both"/>
      </w:pPr>
      <w:r>
        <w:t xml:space="preserve">Nor is the construction merely a hypothetical worst case: a structured audit (Supplementary Table S30) identified seven published studies training or selecting immunotherapy-response predictors against gene-expression-derived labels in cohorts without ICI outcomes — the immunophenoscore itself was derived against a cytolytic median split </w:t>
      </w:r>
      <w:r>
        <w:rPr>
          <w:vertAlign w:val="superscript"/>
        </w:rPr>
        <w:t>[20]</w:t>
      </w:r>
      <w:r>
        <w:t xml:space="preserve">, and TIDE-derived responder calls serve as training labels across tumor types </w:t>
      </w:r>
      <w:r>
        <w:rPr>
          <w:vertAlign w:val="superscript"/>
        </w:rPr>
        <w:t>[21,22]</w:t>
      </w:r>
      <w:r>
        <w:t>. The design rules below therefore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variance- and MI-based feature selection yield indistinguishable performance and highly correlated out-of-fold predictions (Spearman ρ = 0.75), while their top-500 gene sets overlap by only 27% under the pipeline's two-stage prescreen convention (2.4% under a full-data MI convention — the overlap's dependence on the convention is itself a design-choice effect).</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tested statistic = perm-obs,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Neither variant is distinguishable from chance by permutation (p = 0.2853 and 0.3635 at n = 28; Table 2). At n = 28, feature selection changes the selected gene sets — and the biological narrative — without measurably changing predictive performance.</w:t>
      </w:r>
    </w:p>
    <w:p>
      <w:pPr>
        <w:pStyle w:val="Heading2"/>
      </w:pPr>
      <w:r>
        <w:t>Design Choice 3: Endpoint Circularity Can Be Detected Before Benchmarking</w:t>
      </w:r>
    </w:p>
    <w:p>
      <w:pPr>
        <w:jc w:val="both"/>
      </w:pPr>
      <w:r>
        <w:t>The response-definition effect is mechanistically an instance of endpoint circularity: the cytolytic surrogate is operationally defined by genes inside the feature space. Design Choice 1 measured its magnitude within patients; Design Choice 3 asks whether circularity can be recognized before any benchmark is run.</w:t>
      </w:r>
    </w:p>
    <w:p>
      <w:pPr>
        <w:jc w:val="both"/>
      </w:pPr>
      <w:r>
        <w:rPr>
          <w:b/>
        </w:rPr>
        <w:t>Table 3. CDS with cohort-matched random-label nulls (200 replicates; declared genes GZMA/PRF1; v1.2.1). 'ML AUROC Range' = trainable methods only, archived-protocol values. Riaz RECIST is reported on the HGNC matrix (0.409).</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(HGNC-mapped)</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CDS places the only circular endpoint far above its random-label null (Riaz cytolytic 0.954 vs null mean 0.566, max 0.842; Figure 2) — exactly where a GZMA/PRF1-defined endpoint must sit — while the clinical endpoints sit at or within their nulls (Hugo 0.449; Riaz RECIST 0.409; Lauss 0.781). The Gide RECIST value (0.852, above its null maximum) reflects genuine biology that the continuous score cannot separate from circularity: GEP reaches 0.830 (q &lt; 0.001) there, and the executed replications return above-null readings as well. On real bulk-tumor data the composite reduces to an affine transform of two standard association statistics (CDS ≡ 0.4 + 0.3·(C1n + C2); Methods), so the validated claims are the null-referenced ordering and the procedural rule that any gene-defined surrogate — of any program type (60 pseudo-endpoints in Supplementary Table S18, all HIGH) — is circular by construction; the shipped categorical labels are advisory. A retrospective consistency check supports this reading: had CDS existed in 2018, it would have returned 0.449 for the Hugo RECIST endpoint used in the Auslander et al. external validation of IMPRES — below its null mean, correctly indicating a non-circular endpoint.</w:t>
      </w:r>
    </w:p>
    <w:p>
      <w:pPr>
        <w:pStyle w:val="Heading2"/>
      </w:pPr>
      <w:r>
        <w:t>Complete Permutation Test Matrix and Minimum Detectable Effects</w:t>
      </w:r>
    </w:p>
    <w:p>
      <w:pPr>
        <w:jc w:val="both"/>
      </w:pPr>
      <w:r>
        <w:t xml:space="preserve">Figure 3 shows the complete 36-cell permutation matrix (all 36 method–cohort cells carry a recorded permutation p; within-cohort Benjamini–Hochberg families of six cells). On Hugo 2016, IMPRES alone survives (0.795, q = 0.017 — carrying the Carter et al. training-set-bias caveat </w:t>
      </w:r>
      <w:r>
        <w:rPr>
          <w:vertAlign w:val="superscript"/>
        </w:rPr>
        <w:t>[28]</w:t>
      </w:r>
      <w:r>
        <w:t>). On Gide 2019 (n = 73), GEP (0.830, q &lt; 0.001), TIDE (0.752), PD-L1 (0.791), IMPRES and both ElasticNets (frozen-track 0.662/0.605, q = 0.028 each) survive — the first sample size at which a trainable method's signal becomes detectable on a clinical endpoint, a reading that is seed-stable across 10 regenerated stratified splits (ElasticNet-MI 0.613 ± 0.041, ElasticNet-Var 0.624 ± 0.035; Supplementary Table S16). On the circular Riaz cytolytic endpoint even methods sharing the endpoint-defining genes survive (0.968–0.985) — the circularity effect itself. No trainable method survives FDR on any clinical endpoint at n ≤ 43. Family-definition sensitivity is disclosed in Supplementary Table S21, and across cohorts the between-method spread reaches 0.508 (Jung 2019: GEP 0.786 vs TIDE 0.278) — which is why the endpoint effect must be demonstrated within-cohort. Across the four clinical-endpoint cohorts the methods swap ranks — IMPRES leads Hugo (0.795) and Riaz RECIST (0.613), GEP leads Gide (0.830), PD-L1 leads Lauss (0.780), and neither ElasticNet leads any column — so cross-cohort rankings conflate cohort effects with method effects.</w:t>
      </w:r>
    </w:p>
    <w:p>
      <w:pPr>
        <w:jc w:val="both"/>
      </w:pPr>
      <w:r>
        <w:t>AUROC alone does not capture clinical utility. On Hugo 2016, RECIST strongly stratifies overall survival (log-rank p = 0.0003) while IMPRES — the best AUROC method on that cohort — does not (p = 0.554). The same dissociation appears within the Gide significant cells themselves (n = 73; 29 deaths among OS-matched patients, OS from the cBioPortal Gide study): TIDE stratifies OS strongly (log-rank p = 1.2 × 10⁻⁶; Cox HR per SD 0.384) and PD-L1 likewise (p = 3.4 × 10⁻⁵; HR 0.53), whereas GEP — the best-AUROC method on this cohort — does not (p = 0.055), while IMPRES does not (p = 0.56); ElasticNet Brier and decision-curve metrics are reported in Supplementary Table S9b (results/benchmark/v33/gide_utility_metrics.json).</w:t>
      </w:r>
    </w:p>
    <w:p>
      <w:pPr>
        <w:jc w:val="both"/>
      </w:pPr>
      <w:r>
        <w:t>Power analysis sets the sample-size floor. At n ≤ 43, 80% power for a single-sample AUROC comparison requires a true AUROC of 0.74–0.79, whereas at n = 73 it falls to 0.66 — the regime in which Gide becomes detectable. Pairwise ΔAUROC = 0.10 comparisons require ≈130 patients under the most favorable correlation assumption (Supplementary Table S25). The resulting minimum-standards checklist (Supplementary Table S31) requires ≥1 clinical endpoint alongside any molecular surrogate, declaration of endpoint-defining genes, pre-specified multi-strategy feature selection with overlap reporting, non-learning reference baselines, full permutation testing with FDR correction, and ≥50 patients per cohort (≈130 for pairwise comparisons).</w:t>
      </w:r>
    </w:p>
    <w:p>
      <w:pPr>
        <w:pStyle w:val="Heading1"/>
      </w:pPr>
      <w:r>
        <w:t>DISCUSSION</w:t>
      </w:r>
    </w:p>
    <w:p>
      <w:pPr>
        <w:jc w:val="both"/>
      </w:pPr>
      <w:r>
        <w:t>The three modules compose into one statement: a gene-defined surrogate misleads in proportion to (i) the immune-infiltration-driven co-expression supply linking endpoint genes to the feature space (high in melanoma, low in COAD-like contexts), (ii) the overlap between declared endpoint genes and the feature space (complete for the cytolytic surrogate, absent for IMPRES), and (iii) sample size, which sets the detectability floor. The TCGA anchor (2,491 patients; 12 immune signatures × 4 cancer types) is prognostic rather than predictive, and its composition confound is disclosed: the protective univariate ordering outside melanoma (SKCM 11/12 → BRCA 3/12 → LUAD 1/12 → COAD 0/12 significant signatures) is largely absorbed by age- and stage-composition under multivariate adjustment — now run for BRCA, LUAD and COAD (BRCA retains 1/12, Myeloid, adverse direction, HR 1.154, q = 0.0011; LUAD and COAD 0/12; Table S15) — so it conditions rather than demonstrates the account, and the SKCM–COAD contrast partially conflates cancer type with metastatic-versus-primary composition.</w:t>
      </w:r>
    </w:p>
    <w:p>
      <w:pPr>
        <w:jc w:val="both"/>
      </w:pPr>
      <w:r>
        <w:t>Schoenfeld-residual checks (rank test) on every multivariate model showed no proportional-hazards violation for the signature covariate in SKCM (0/12) or LUAD and COAD (0/12) and one marginal nominal violation in BRCA (Treg, p = 0.0337); the stage covariate violated non-proportionality in all SKCM and BRCA models. A stage-stratified Cox model (signature z + age z, stage-specific baseline hazards, no proportional-hazards assumption on stage) then reproduced every reported conclusion exactly (BH-significant signatures: SKCM 8/12, BRCA 1/12, LUAD 0/12, COAD 0/12), and a 24-month landmark analysis showed time-stable signature directions in SKCM (12/12); the single BRCA time-varying signature (Treg, harmful early HR 1.234, null late) is a non-significant row (data/tcga/ph_schoenfeld_check.json, data/tcga/stage_stratified_ph.json; Supplementary Table S15). The account also predicts that two clinical definitions of the same construct should barely move predictions; the RECIST-versus-DCB contrasts (Δ ≤ 0.083 across a melanoma and a renal-cell-carcinoma cohort) provide direct support.</w:t>
      </w:r>
    </w:p>
    <w:p>
      <w:pPr>
        <w:jc w:val="both"/>
      </w:pPr>
      <w:r>
        <w:t xml:space="preserve">SPATBench asks a different question from existing benchmarks </w:t>
      </w:r>
      <w:r>
        <w:t>[15–18]</w:t>
      </w:r>
      <w:r>
        <w:t xml:space="preserve">: which design choices cause benchmark unreliability at available sample sizes, and does the answer convert into design rules? The answer is that response definition exerts a larger within-cohort effect (Δ = 0.520) than any between-method difference on the same endpoint (0.148); across cohorts the between-method spread reaches 0.508 — so at n = 43, </w:t>
      </w:r>
      <w:r>
        <w:rPr>
          <w:i/>
        </w:rPr>
        <w:t>how you define response can matter as much as or more than which algorithm you choose</w:t>
      </w:r>
      <w:r>
        <w:t xml:space="preserve"> (point estimate; paired bootstrap in Methods).</w:t>
      </w:r>
    </w:p>
    <w:p>
      <w:pPr>
        <w:jc w:val="both"/>
      </w:pPr>
      <w:r>
        <w:t xml:space="preserve">The genuinely new rules (Supplementary Table S31) are requiring a clinical endpoint alongside any gene-defined surrogate, declaring endpoint-defining genes, and the null-referenced companion reading; the remaining rows reinforce standards codified for prediction models and biomarker studies (REMARK, TRIPOD, PROBAST) </w:t>
      </w:r>
      <w:r>
        <w:t>[29–31]</w:t>
      </w:r>
      <w:r>
        <w:t xml:space="preserve">. One operational rule is not captured there: for endpoints with CDS &gt; 0.80 — a conservative threshold, because genuine endpoints reach null maxima of 0.80–0.87 — assume ML methods are learning the endpoint-defining genes until independent clinical-endpoint validation proves otherwise. Feature selection deserves its own rule: accompany any biological interpretation with overlap reporting, the single most informative check for strategy dependence. The audit's clinical-development contrast matters here: the circular construction belongs to the surrogate-training lineage </w:t>
      </w:r>
      <w:r>
        <w:t>[20–22]</w:t>
      </w:r>
      <w:r>
        <w:t>, while clinical development evaluates on clinical endpoints — which is why the two segments must be reported separately, and why the clinical-endpoint rule binds both. Beyond immunotherapy, any transcriptomic prediction task using a gene-defined surrogate carries the same risk, and the CDS concept generalizes to any expression matrix paired with a binary label, its validated reading remaining the null-referenced continuous value.</w:t>
      </w:r>
    </w:p>
    <w:p>
      <w:pPr>
        <w:jc w:val="both"/>
      </w:pPr>
      <w:r>
        <w:t xml:space="preserve">Method performance is inherently context-dependent </w:t>
      </w:r>
      <w:r>
        <w:rPr>
          <w:vertAlign w:val="superscript"/>
        </w:rPr>
        <w:t>[15,17]</w:t>
      </w:r>
      <w:r>
        <w:t xml:space="preserve">: IMPRES ranges from 0.795 (Hugo) to 0.583 (Jung DCB); GEP from 0.446 (Hugo) to 0.830 (Gide). Benchmark studies should report each method's known developmental limitations alongside performance </w:t>
      </w:r>
      <w:r>
        <w:rPr>
          <w:vertAlign w:val="superscript"/>
        </w:rPr>
        <w:t>[28]</w:t>
      </w:r>
      <w:r>
        <w:t xml:space="preserve">. Benchmark unreliability does not imply clinical uselessness — a predictor with wide CIs at n = 28 may still capture genuine biology that a larger cohort would confirm — but at current sample sizes one cannot </w:t>
      </w:r>
      <w:r>
        <w:rPr>
          <w:i/>
        </w:rPr>
        <w:t>distinguish</w:t>
      </w:r>
      <w:r>
        <w:t xml:space="preserve"> reliable from unreliable benchmarks by AUROC alone, and the design choices documented here are the reason. Four boundaries qualify the scope of these conclusions.</w:t>
      </w:r>
    </w:p>
    <w:p>
      <w:pPr>
        <w:pStyle w:val="ListNumber"/>
      </w:pPr>
      <w:r>
        <w:t>All 95% CIs for trainable methods on clinical endpoints at n ≤ 43 overlap 0.5; the sole fixed-scorer exception (IMPRES on Hugo) carries an inherited feature-selection-bias caveat [28]. No ML method is statistically superior at n ≤ 43.</w:t>
      </w:r>
    </w:p>
    <w:p>
      <w:pPr>
        <w:pStyle w:val="ListNumber"/>
      </w:pPr>
      <w:r>
        <w:t>The collapse was demonstrated on Riaz and replicated in five cancer types with the same author-constructed surrogate; the remaining boundary is cohort availability. GSE274975 keeps its endpoints outside repository metadata, and IMmotion150's harmonization pools two treatment arms.</w:t>
      </w:r>
    </w:p>
    <w:p>
      <w:pPr>
        <w:pStyle w:val="ListNumber"/>
      </w:pPr>
      <w:r>
        <w:t>CDS's categorical labels lack specificity on real data (all 60 pseudo-endpoints score HIGH; 20–36% of real random-label replicates exceed the 0.70 boundary versus ≈3% on the synthetic calibration null): the validated reading is the continuous value against a cohort-matched null, and circularity protection is procedural. CDS v2.0.0 adds a hypothesis-free mode and a declared-gene specificity statistic, validated across eight real endpoints: every circular cytolytic surrogate is flagged (p = 0.005 in all four), three of four clinical endpoints pass (p &gt;= 0.09), and the one clinical endpoint that fired (STAD RECIST, p = 0.01) is classified as non-circular by its declared-gene specificity (percentile 74.5, specificity p = 0.11); the permutation-based enrichment ratio itself proved fragile under permutation (the skew-ratio denominator collapses under label shuffling) and the v2 reading relies on the two new statistics.</w:t>
      </w:r>
    </w:p>
    <w:p>
      <w:pPr>
        <w:pStyle w:val="ListNumber"/>
      </w:pPr>
      <w:r>
        <w:t>The benchmark cohorts are predominantly melanoma (169/196) and one is adoptive T-cell therapy rather than ICI; Gide pools two treatment arms. TMB and PD-L1 IHC use expression proxies. Leave-one-cohort-out validation is precluded by gene-identifier heterogeneity — a barrier that is itself a finding.</w:t>
      </w:r>
    </w:p>
    <w:p>
      <w:pPr>
        <w:pStyle w:val="Heading1"/>
      </w:pPr>
      <w:r>
        <w:t>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10.5281/zenodo.23012359).</w:t>
      </w:r>
    </w:p>
    <w:p>
      <w:pPr>
        <w:pStyle w:val="ListBullet"/>
      </w:pPr>
      <w:r>
        <w:t>Code: All original code is publicly available. SPATBench pipeline: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10.5281/zenodo.23012359). The included Dockerfile builds the image (`docker build -t spa-bench:v33 .`) that reproduces the synthetic validation test (`scripts/validate.py`, exit code 0 verified) and ships the complete pipeline code; reproducing the reported tables additionally requires the Zenodo-archived inputs and the single documented entry point `scripts/rerun_v33.py`.</w:t>
      </w:r>
    </w:p>
    <w:p>
      <w:pPr>
        <w:pStyle w:val="ListBullet"/>
      </w:pPr>
      <w:r>
        <w:t>Any additional information required to reanalyze the data reported in this paper is available from the lead contact upon request.</w:t>
      </w:r>
    </w:p>
    <w:p>
      <w:pPr>
        <w:jc w:val="both"/>
      </w:pPr>
      <w:r>
        <w:rPr>
          <w:b/>
        </w:rPr>
        <w:t>Code availability</w:t>
      </w:r>
    </w:p>
    <w:p>
      <w:pPr>
        <w:pStyle w:val="ListBullet"/>
      </w:pPr>
      <w:r>
        <w:t>Code: the pre-declared replication protocols are timestamped in the repository history — the Liu 2019 protocol and the GSE274975 pre-declared pipeline were committed at repository inception (2026-09-16, commit a745d2e), the IMmotion150 and STAD protocols on 2026-09-19, and the GSE274975 executed variant on 2026-09-20 (after endpoint recovery; Table S19); all replication outputs are archived in the same history and in the Zenodo record published 2026-09-22 (DOI: 10.5281/zenodo.23012359), which provides an independent third-party timestamp for the pre-declared protocols.</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w:t>
      </w:r>
      <w:r>
        <w:rPr>
          <w:b/>
        </w:rPr>
        <w:t>XGBoost disclosure.</w:t>
      </w:r>
      <w:r>
        <w:t xml:space="preserve"> XGBoost is excluded from benchmark reporting (degenerate on all clinical endpoints; its only non-degenerate AUROC sits on the circular cytolytic endpoint — development-phase evaluation only). A completed permutation matrix for XGBoost across all six cohort-endpoints (1,000 full-pipeline shuffles per cohort-endpoint, default hyperparameters, the same patient-stratified folds as every other method) confirms the pattern with a non-ElasticNet learner: null on every clinical endpoint (Hugo p = 0.29, Nathanson p = 0.17, Jung p = 0.25, Riaz RECIST p = 0.81) and significant only on the circular cytolytic endpoint (obs AUROC 0.903, p = 0.0010; Supplementary Table S16(e)). Re-examination (archived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Supplementary Table S31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 a reading that is seed-stable across 10 regenerated stratified splits (ElasticNet-MI 0.613 ± 0.041, ElasticNet-Var 0.624 ± 0.035; Supplementary Table S16) and size-limited rather than cohort-limited: within-cohort subsampling of Gide keeps the ElasticNet-MI signal at a stable 0.62–0.66 mean AUROC from n = 25 to n = 73 while the 80%-power detection floor rises from 0.658 to 0.745, and detection remains marginal even at the full cohort size (2/10 draws at or above the floor; Supplementary Table S16);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 The frozen protocol itself was tested head-to-head against per-shuffle re-tuning on the Hugo ElasticNet-Var cell (300 label shuffles, both tracks from the pipeline-native nested CV): both protocols place the observed AUROC far inside their nulls (p = 0.312 frozen vs 0.259 re-tuned; null means 0.453 vs 0.425), so the negative claim is not an artifact of the frozen protocol (Supplementary Table S16).</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0.148 (IMPRES 0.613 vs ElasticNet-Var 0.465),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These marginal per-endpoint intervals address the existence of the collapse (the Δ interval excludes zero) and ignore the within-patient correlation between the two AUROCs; the authoritative interval for the 3.5× comparison of the endpoint effect against the method gap is the paired difference reported above, which includes zero.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jc w:val="both"/>
      </w:pPr>
      <w:r>
        <w:rPr>
          <w:b/>
        </w:rPr>
        <w:t>Uncertainty on the effect-size comparison.</w:t>
      </w:r>
      <w:r>
        <w:t xml:space="preserve"> The 3.5× is a descriptive ratio of benchmark point estimates, not a bootstrap quantity. The inferential anchor is the Δ interval on the full 42-patient RECIST-evaluable set, which excludes zero under both hyperparameter constructions (frozen: Δ = 0.343, 10,000-resample bootstrap 95% CI 0.090–0.598; tuning: Δ = 0.386, CI 0.169–0.589; seed 42; ). The paired difference between the endpoint effect and the method gap is positive in 90% (frozen) and 84% (tuning) of 1,000 resamples but is not separable from zero at 95% confidence (frozen: point 0.314, CI −0.121 to 0.420; tuning: point 0.240, CI −0.176 to 0.318; ), so the ordering claim is calibrated to a point estimate throughout. Across different cohorts the between-method spread can reach 0.508, which is why the within-cohort comparison is the appropriate design.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(v2.0.0; source and packaging at https://github.com/huangzhixian324-dev/cds and in the Zenodo archive); every CDS value in this manuscript is exactly reproducible from them. Version 2.0.0 adds three statistics without changing the v1.x composite: a hypothesis-free mode that permutation-tests the genome-wide feature-label MI distribution without declared genes (an undeclared-surrogate detector), a declared-gene specificity statistic (the mean percentile rank of the declared genes within the genome-wide MI distribution, with a label-permutation null), and a label-permutation null for the C3 enrichment ratio. In validation across eight real endpoints, the hypothesis-free mode flagged every circular cytolytic surrogate (p = 0.005 in all four replication cohorts) and three of four clinical endpoints passed (p &gt;= 0.09); the one clinical endpoint that fired (STAD RECIST, p = 0.01) showed declared-gene specificity far below the circular ceiling (percentile 74.5 versus 100, specificity p = 0.11), demonstrating that association detection requires the specificity classifier.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archived-protocol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1"/>
      </w:pPr>
      <w:r>
        <w:t>SUPPLEMENTARY DATA</w:t>
      </w:r>
    </w:p>
    <w:p>
      <w:pPr>
        <w:jc w:val="both"/>
      </w:pPr>
      <w:r>
        <w:t>Supplementary Information is provided as a separate PDF (Markdown source `supplementary_nmi.md`, assembled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S9b:** Gide 2019 clinical-utility metrics for the FDR-significant cells</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and seed robustness — Riaz RECIST k-fold (a); Gide RECIST 10-seed rerun (b)</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**Table S31:** Minimum requirements for reliable immunotherapy prediction benchmarking</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95% bootstrap CIs). Every method whose feature set overlaps the endpoint-defining genes (GZMA/PRF1) collapses; IMPRES, with no overlap, is nearly insensitive.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