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(196 patients). Switching from a molecular surrogate (cytolytic activity) to a clinical endpoint (RECIST v1.1) in the same patients collapses every method whose features overlap the endpoint-defining genes (ElasticNet-Var 0.985 to 0.465; GEP 0.968 to 0.503), 3.5× the largest within-cohort method gap, while two clinical definitions on identical patients move predictions by at most 0.084. MI- and variance-based selection yield 27%-overlapping gene sets and indistinguishable performance. The Circularity Detection Score (CDS) flags the circular endpoint far above its null, yet its categorical labels prove non-specific. No trainable method survives FDR correction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w:t>
      </w:r>
      <w:r>
        <w:rPr>
          <w:vertAlign w:val="superscript"/>
        </w:rPr>
        <w:t>[1,2]</w:t>
      </w:r>
      <w:r>
        <w:t xml:space="preserve">, yet the transcriptomic biomarkers developed to guide their use rest on a methodological foundation that has not itself been systematically audited. Yet only 20–30% of unselected patients achieve objective responses, motivating intensive efforts to develop transcriptomic biomarkers for stratification </w:t>
      </w:r>
      <w:r>
        <w:t>[3–6]</w:t>
      </w:r>
      <w:r>
        <w:t xml:space="preserve">.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w:t>
      </w:r>
      <w:r>
        <w:t>[6–8]</w:t>
      </w:r>
      <w:r>
        <w:t xml:space="preserve">.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w:t>
      </w:r>
      <w:r>
        <w:t>[11–13]</w:t>
      </w:r>
      <w:r>
        <w:t xml:space="preserve">;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w:t>
      </w:r>
      <w:r>
        <w:t>[15–18]</w:t>
      </w:r>
      <w:r>
        <w:t xml:space="preserve">: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tumour-microenvironment scoring methods found none reliable across cancer types </w:t>
      </w:r>
      <w:r>
        <w:rPr>
          <w:vertAlign w:val="superscript"/>
        </w:rPr>
        <w:t>[19]</w:t>
      </w:r>
      <w:r>
        <w:t xml:space="preserve">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with CDS as its quantitative companion rather than an independent gate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melanoma and bladder carcinoma, with NSCLC replication an open gap.</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(n=42)</w:t>
            </w:r>
          </w:p>
        </w:tc>
        <w:tc>
          <w:tcPr>
            <w:tcW w:type="dxa" w:w="1728"/>
          </w:tcPr>
          <w:p>
            <w:r>
              <w:rPr>
                <w:sz w:val="16"/>
              </w:rPr>
              <w:t>Cytolytic AUROC (n=43)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w:t>
      </w:r>
      <w:r>
        <w:t xml:space="preserve"> The effect replicates on an independent cohort — Liu 2019 </w:t>
      </w:r>
      <w:r>
        <w:rPr>
          <w:vertAlign w:val="superscript"/>
        </w:rPr>
        <w:t>[20]</w:t>
      </w:r>
      <w:r>
        <w:t xml:space="preserve"> (n = 122 annotated samples; DFCI anti-PD-1 melanoma; independent of all five benchmark cohorts; iAtlas harmonization; the first executed external replication).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BH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scripts/e1_replication_liu2019.py.</w:t>
      </w:r>
    </w:p>
    <w:p>
      <w:pPr>
        <w:jc w:val="both"/>
      </w:pPr>
      <w:r>
        <w:rPr>
          <w:b/>
        </w:rPr>
        <w:t>Pre-declared NSCLC candidate executed:</w:t>
      </w:r>
      <w:r>
        <w:t xml:space="preserve"> GSE274975 </w:t>
      </w:r>
      <w:r>
        <w:rPr>
          <w:vertAlign w:val="superscript"/>
        </w:rPr>
        <w:t>[21]</w:t>
      </w:r>
      <w:r>
        <w:t xml:space="preserve"> (anti-PD-(L)1 NSCLC, n = 61; RECIST responders 15) publishes its RECIST and PFS endpoints in the source publication's supplementary table rather than in GEO metadata; after recovering them and verifying sample identity (patient-number bijection across the counts matrix, the GEO titles and the clinical table; histotype concordance 57/58), the pre-declared pipeline ran unchanged. RECIST leaves PD-L1 expression as the only surviving fixed scorer (0.690 [0.513–0.865], perm p = 0.014 — the biomarker approved for this indication), with GEP at 0.613 (p = 0.100) and IMPRES, TIDE and both ElasticNets at chance; the surrogate endpoint inflates GEP to 0.881 (p = 2 × 10⁻⁵; CDS 0.786 HIGH). Full results in Supplementary Table S27; pipeline in scripts/e1_gse274975_executed.py.</w:t>
      </w:r>
    </w:p>
    <w:p>
      <w:pPr>
        <w:jc w:val="both"/>
      </w:pPr>
      <w:r>
        <w:rPr>
          <w:b/>
        </w:rPr>
        <w:t>Cross-cancer replication (pre-declared):</w:t>
      </w:r>
      <w:r>
        <w:t xml:space="preserve"> The effect replicates in a non-melanoma tumour type — IMvigor210 </w:t>
      </w:r>
      <w:r>
        <w:rPr>
          <w:vertAlign w:val="superscript"/>
        </w:rPr>
        <w:t>[22]</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cleanly separates the two endpoints: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Fourth cancer type (ccRCC):</w:t>
      </w:r>
      <w:r>
        <w:t xml:space="preserve"> IMmotion150 </w:t>
      </w:r>
      <w:r>
        <w:rPr>
          <w:vertAlign w:val="superscript"/>
        </w:rPr>
        <w:t>[23]</w:t>
      </w:r>
      <w:r>
        <w:t xml:space="preserve"> (advanced renal cell carcinoma, atezolizumab arm; n = 165 RECIST-evaluable, 48 responders; iAtlas harmonization, which pools the monotherapy and combination arms). RECIST preserves two signals: GEP, the strongest fixed scorer of the replication series (0.662 [0.569–0.750], perm p = 4.4 × 10⁻⁴), and PD-L1 expression (0.599, p = 0.023) — the trial's own stratification biomarker. Switching RECIST to durable clinical benefit (PFS ≥ 6 months without progression) attenuates but does not abolish GEP (0.604, p = 0.016); the time-only PFS &lt; 6-month variant collapses every fixed signature (GEP 0.438) while ElasticNet-Var retains 0.659 — trainable models can fit PFS-time correlates that are not ICI-specific. The surrogate endpoint yields GEP 0.905 with the series' largest circularity flag (CDS 0.945 vs null 0.516). Full results in Supplementary Table S28; pipeline in scripts/e1_immotion150_executed.py.</w:t>
      </w:r>
    </w:p>
    <w:p>
      <w:pPr>
        <w:jc w:val="both"/>
      </w:pPr>
      <w:r>
        <w:rPr>
          <w:b/>
        </w:rPr>
        <w:t>Clinical–clinical contrast (non-circular):</w:t>
      </w:r>
      <w:r>
        <w:t xml:space="preserve"> One public cohort carries two clinical response definitions on the same patients: Liu 2019, whose iAtlas harmonization annotates both RECIST and PFS. We defined durable clinical benefit (DCB) as progression-free at ≥6 months and excluded samples censored earlier. The two definitions agree substantially (κ = 0.669; 48 RECIST responders, 58 DCB). Across all six methods, switching between them moves predictions by at most 0.084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E5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flagged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recognised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0.084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n.c. ElasticNet-MI/Var cells were completed with frozen hyperparameters and merged, so all 36 of 36 cells carry a recorded permutation p, with within-cohort BH families (six cells each) recomputed.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any method's signal becomes detectable, consistent with the power analysis. IMPRES on Hugo carries the Carter et al. (2019) training-set-bias caveat </w:t>
      </w:r>
      <w:r>
        <w:rPr>
          <w:vertAlign w:val="superscript"/>
        </w:rPr>
        <w:t>[24]</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analyzing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2,000–5,000 full-pipeline shuffles (each shuffle re-fits the pipeline, ≈60–90 s; all eight clinical trainable cells extended in 2026-09-18, four cells to 5,000);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tumour type the endpoint-switch collapse should shrink toward the method gap even at adequate n — and the 36-cell matrix and CDS nulls make it checkable. The TCGA anchor is prognostic and its SKCM–COAD contrast partially conflates cancer type with metastatic-versus-primary composition (the SKCM signal is metastatic-carried; Table S15), so it conditions rather than demonstrates the account. The account also predicts that two clinical definitions of the same construct should barely move predictions; the Liu 2019 RECIST-versus-DCB contrast provides direct support for this (largest endpoint-switch Δ = 0.084 across six methods, below the largest within-cohort method gap; Table S26), while remaining a single-cohort, complete-case comparison. SPATBench asks a different question from existing benchmarks </w:t>
      </w:r>
      <w:r>
        <w:t>[15–18]</w:t>
      </w:r>
      <w:r>
        <w:t xml:space="preserve">,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 xml:space="preserve">. The mechanism ports across three further cohorts with executed endpoint-switch replications (Liu 2019, melanoma; IMvigor210, bladder carcinoma — a cytolytic-to-RECIST switch on 297 patients with a clinical RECIST endpoint, largest Δ = 0.354 against a same-cohort method gap of 0.180, CDS 0.953 versus 0.434; GSE274975, NSCLC; IMmotion150, renal cell carcinoma), plus the Gide surrogate-construction control (CDS 0.955); all use the same author-constructed cytolytic surrogate, so these establish cross-cancer portability of the circular construction on clinical endpoints, not that clinical RECIST rankings differ across every tumour type (four cancer types now carry executed external replications; Supplementary Tables S19, S20, S27, S28); the published-study audit (Tables S17, S20) establishes cross-study consistency of the reading on the computable cohorts. Of the Table 9 rules, the genuinely new ones from this study are requiring a clinical endpoint alongside any gene-defined surrogate, declaring endpoint-defining genes, and computing CDS; the remaining rows reinforce standard reproducibility hygiene.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(recalibrated HIGH threshold), assume ML methods are learning the endpoint-defining genes until independent clinical-endpoint validation proves otherwise.</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[24]</w:t>
      </w:r>
      <w:r>
        <w:t xml:space="preserve"> ; the inherited feature-selection-bias caveat is in Limitations. Benchmark studies should therefore report each method's known developmental limitations alongside performance. We note that benchmark unreliability does not imply that a biomarker is clinically useless — a predictor with wide CIs at n = 28 may still capture genuine biology that a larger cohort would confirm. The point is narrower: at current sample sizes, one cannot </w:t>
      </w:r>
      <w:r>
        <w:rPr>
          <w:i/>
        </w:rPr>
        <w:t>distinguish</w:t>
      </w:r>
      <w:r>
        <w:t xml:space="preserve"> reliable from unreliable benchmarks by AUROC alone, and the design choices documented here are the reason. The GEP's clinical development (as part of the approved Vantage assay) proceeded despite the same small-cohort limitations documented here — trial design, not retrospective AUROC benchmarking, was the arbiter of utility.</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tumour samples (n = 426 of 444; 367 metastatic, 76 primary); the restored all-tumour policy yields n = 441 patients (212 deaths), with </w:t>
      </w:r>
      <w:r>
        <w:rPr>
          <w:b/>
        </w:rPr>
        <w:t>11/12 immune signatures are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Second, the local COAD expression file was not TCGA-formatted and could not support the archived COAD result (n = 588, 119 deaths), so v33 withdrew it and re-acquired the cohort from the GDC current index (STAR counts, GENCODE v36, primary tumours;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[25]</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[5,32].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(an independent 10-replicate null run preserves the ordering — Tables S17/S19/S20); the Chowell and Liang multi-cohort designs remain unverified, and the Van Allen CTLA-4 cohort [26]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in highly immune-infiltrated cancers (melanoma, NSCLC), C3 saturates at 1.000 on every real cohort and all 60 pseudo-endpoints (Table S18), leaving C1 and C2 as the sole discrimination sources;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(three executed replications to date — Liu 2019, GSE274975, IMmotion150; the remaining pre-screened candidate NIVACTOR is microarray-based).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two independent cohorts — Liu 2019 (melanoma, n = 122; Table S19) and IMvigor210 (bladder carcinoma, n = 297; Table S20)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0.084 (Table S26), so the demonstrated collapse is attributable to the circularity channel rather than to clinical-definition disagreement. The NSCLC gap flagged in earlier versions is now closed: GSE274975 publishes its RECIST and PFS endpoints in the source publication's supplementary table, and after identity verification the pre-declared pipeline executed without modification (RECIST leaves PD-L1 expression as the only surviving scorer, perm p = 0.014; surrogate GEP 0.881, CDS 0.786 HIGH). A third executed replication extends the framework to renal cell carcinoma (IMmotion150; GEP 0.662, perm p = 4.4 × 10⁻⁴ on RECIST), bringing external evidence to four cancer types. The remaining pre-screened candidate (NIVACTOR, HNSCC) is microarray-based with 12 responders and is deferred pending a per-patient response table outside PDF supplementary material. The IMvigor210 replication (n = 297, bladder carcinoma) already demonstrates that the framework generalizes beyond melanoma when the data exist.</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tumour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Earlier versions could not evaluate IMPRES, GEP, or TIDE on Jung 2019 (Ensembl IDs without HGNC mapping); as of v33 the HGNC-mapped matrix is used for all methods, and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validation (2,491 patients, 4 cancer types), but CDS calibration and the response-definition collapse are demonstrated in melanoma only.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[24];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GSE274975) and cBioPortal (mel_iatlas_gide_2019, blca_iatlas_imvigor210_2017, mel_iatlas_liu_2019, rcc_iatlas_immotion150_2018). Preprocessed expression matrices, all per-cell permutation outputs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GSE135222 and GSE274975; cBioPortal studies mel_iatlas_gide_2019, mel_iatlas_liu_2019, blca_iatlas_imvigor210_2017 and rcc_iatlas_immotion150_2018;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[27]</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[28]</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[29]</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[27]</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expression data were standardized to log2(FPKM + 1).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[30]</w:t>
      </w:r>
      <w:r>
        <w:t xml:space="preserve">. Immune deconvolution signatures (14 cell types, 43 unique genes; Supplementary Table S10) </w:t>
      </w:r>
      <w:r>
        <w:rPr>
          <w:vertAlign w:val="superscript"/>
        </w:rPr>
        <w:t>[31]</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[32]</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across all tests within each cohort </w:t>
      </w:r>
      <w:r>
        <w:rPr>
          <w:vertAlign w:val="superscript"/>
        </w:rPr>
        <w:t>[33]</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XGBoost is the third detectable trainable signature at n = 73, and the detectability-onset reading now covers all three trainable methods tested. XGBoost remains outside the reported 36-cell matrix because the development-phase runs were not retained under the current protocol;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(bootstrap implementation. The analytic DeLong covariance method </w:t>
      </w:r>
      <w:r>
        <w:rPr>
          <w:vertAlign w:val="superscript"/>
        </w:rPr>
        <w:t>[34]</w:t>
      </w:r>
      <w:r>
        <w:t xml:space="preserve"> was considered but the bootstrap version was used throughout — we refer to these as paired bootstrap tests, not DeLong tests). The Bonferroni threshold (p &lt; 0.05/36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[35]</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characterise what CDS measures, we generated 30 pseudo-endpoints per cohort from real gene programs </w:t>
      </w:r>
      <w:r>
        <w:rPr>
          <w:vertAlign w:val="superscript"/>
        </w:rPr>
        <w:t>[36]</w:t>
      </w:r>
      <w:r>
        <w:t xml:space="preserve"> — ECM/stromal (collagens, fibroblast, endothelial, pericyte and basement-membrane markers), tumour-purity/proliferation (cell cycle, E2F/MYC targets, glycolysis, oxidative phosphorylation) and lineage/signalling programs (melanocytic differentiation, keratinocyte basal, hypoxia, interferon, antigen presentation) — each dichotomised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[37]</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[24]</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Poddubskaya, E., Suntsova, M., Lyadova, M., Luppov, D., Guryanova, A., Lyadov, V., Garazha, A., Sorokin, M., et al. (2024). Biomarkers of success of anti-PD-(L)1 immunotherapy for non-small cell lung cancer derived from RNA- and whole-exome sequencing: results of a prospective observational study on a cohort of 85 patients. *Front. Immunol.* 15, 1493877. doi:10.3389/fimmu.2024.1493877</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McDermott, D.F., Huseni, M.A., Atkins, M.B., Motzer, R.J., Rini, B.I., Escudier, B., Fong, L., Joseph, R.W., Pal, S.K., et al. (2018). Clinical activity and molecular correlates of response to atezolizumab alone or in combination with bevacizumab versus sunitinib in advanced renal cell carcinoma. *Nat. Med.* 24, 749–757. doi:10.1038/s41591-018-0053-3</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Efron, B. and Tibshirani, R.J. (1993). *An Introduction to the Bootstrap*. Chapman &amp; Hall, New York.</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