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3.5× the largest within-cohort method gap, while two clinical definitions on identical patients move predictions by at most 0.084, and the effect replicates in executed external cohorts spanning four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Yet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four cancer types (melanoma, bladder carcinoma, NSCLC and renal cell carcinoma)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tumour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[24]</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with executed endpoint-switch replications (Liu 2019, melanoma; GSE274975, NSCLC; IMmotion150, renal cell carcinoma),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(four cancer types now carry executed external replications; Supplementary Tables S19, S20, S27, S28);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[24]</w:t>
      </w:r>
      <w:r>
        <w:t xml:space="preserve"> ;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[25]</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[5,26].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and IMmotion150;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four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[24];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[26]</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[33]</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[34]</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[35]</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[36]</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[37]</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[24]</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