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  <w:spacing w:after="120"/>
      </w:pPr>
      <w:r>
        <w:t>Benchmark conclusions shift more with endpoint definition than with algorithm</w:t>
      </w:r>
    </w:p>
    <w:p>
      <w:pPr>
        <w:pStyle w:val="ListBullet"/>
        <w:spacing w:after="120"/>
      </w:pPr>
      <w:r>
        <w:t>Cytolytic-surrogate endpoints inflate methods whose features overlap their genes</w:t>
      </w:r>
    </w:p>
    <w:p>
      <w:pPr>
        <w:pStyle w:val="ListBullet"/>
        <w:spacing w:after="120"/>
      </w:pPr>
      <w:r>
        <w:t>Feature-selection strategy rewrites the biological narrative, not the ranking</w:t>
      </w:r>
    </w:p>
    <w:p>
      <w:pPr>
        <w:pStyle w:val="ListBullet"/>
        <w:spacing w:after="120"/>
      </w:pPr>
      <w:r>
        <w:t>A null-referenced circularity score flags gene-defined endpoints before benchmarking</w:t>
      </w:r>
    </w:p>
    <w:p>
      <w:pPr>
        <w:pStyle w:val="Heading1"/>
      </w:pPr>
      <w:r>
        <w:t>eTOC blurb</w:t>
      </w:r>
    </w:p>
    <w:p>
      <w:pPr>
        <w:spacing w:after="120"/>
      </w:pPr>
      <w:r>
        <w:t>Benchmark rankings in immunotherapy transcriptomics depend more on methodological choices than on algorithms. Isolating response definition, feature selection, and endpoint circularity across 196 patients shows that gene-defined surrogate endpoints inflate overlapping methods, and a null-referenced circularity score flags such endpoints before benchmarking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