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while two clinical definitions on identical patients move predictions by at most 0.084, and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[24]</w:t>
      </w:r>
      <w:r>
        <w:t xml:space="preserve"> (metastatic gastric cancer, n = 78, all anti-PD-1; TIGER portal). RECIST yields GEP 0.744 [0.602–0.854], perm p = 0.00034, BH q = 0.001 — the strongest GEP signal in the replication series and the first FDR-level confirmation in a non-melanoma, non-RCC tumor type.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two newly executed clinical replications return HIGH as well (GSE274975 RECIST 0.750 vs null mean 0.488; IMmotion150 RECIST 0.741 vs 0.492): in immune-inflamed tumors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[25]</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three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[25]</w:t>
      </w:r>
      <w:r>
        <w:t xml:space="preserve">;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[26]</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[5,27].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[28]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in lower-infiltration tumors (UC, gastric), CDS on clinical endpoints remains at or below null, confirming that saturation is infiltration-dependent rather than universal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validation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[25];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[29]</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[30]</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[29]</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[32]</w:t>
      </w:r>
      <w:r>
        <w:t xml:space="preserve">. Immune deconvolution signatures (14 cell types, 43 unique genes; Supplementary Table S10) </w:t>
      </w:r>
      <w:r>
        <w:rPr>
          <w:vertAlign w:val="superscript"/>
        </w:rPr>
        <w:t>[33]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[27]</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[34]</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[35]</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[36]</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characterize what CDS measures, we generated 30 pseudo-endpoints per cohort from real gene programs </w:t>
      </w:r>
      <w:r>
        <w:rPr>
          <w:vertAlign w:val="superscript"/>
        </w:rPr>
        <w:t>[37]</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[38]</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[25]</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et al. (2022). Metastatic gastric cancer treated with anti-PD-1 immunotherapy (PRJEB25780). RNA-seq data from the European Nucleotide Archive and the TIGER portal.</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Efron, B. and Tibshirani, R.J. (1993). *An Introduction to the Bootstrap*. Chapman &amp; Hall, New York.</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