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point-estimate effect larger than the largest within-cohort method gap (Methods; the paired bootstrap difference is not separable from zero at n = 42). Two clinical definitions on identical patients move predictions by at most 0.083.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mine). All hold methodology fixed and compare methods; my approach is orthogonal — I hold methods fixed and systematically vary methodological choices, asking which design decisions, rather than which algorithms, determine benchmark outcomes. The surrogate-endpoint variant of this problem is not hypothetical: the immunophenoscore, a widely applied response surrogate, was derived using machine learning on TCGA data partitioned by median cytolytic activity (GZMA/PRF1) within each cancer type </w:t>
      </w:r>
      <w:r>
        <w:rPr>
          <w:vertAlign w:val="superscript"/>
        </w:rPr>
        <w:t>[20]</w:t>
      </w:r>
      <w:r>
        <w:t xml:space="preserve">, and a substantial methodological literature trains or selects transcriptomic response predictors against gene-expression-derived responder calls such as TIDE-score dichotomies </w:t>
      </w:r>
      <w:r>
        <w:rPr>
          <w:vertAlign w:val="superscript"/>
        </w:rPr>
        <w:t>[21,22]</w:t>
      </w:r>
      <w:r>
        <w:t xml:space="preserve"> (field audit in Results; Supplementary Table S30). Here I present SPATBench, a computational framework and benchmark resource asking: </w:t>
      </w:r>
      <w:r>
        <w:rPr>
          <w:i/>
        </w:rPr>
        <w:t>given that rankings are unreliable at available sample sizes, which methodological choices contribute most to that unreliability, and by how much?</w:t>
      </w:r>
      <w:r>
        <w:t xml:space="preserve"> My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reporting convention for pre-benchmarking endpoint assessment whose binding rule is the declaration of endpoint-defining genes: any gene-defined surrogate is circular by construction, whatever any score reads. Its quantitative companion, the Circularity Detection Score (CDS), null-references endpoint-gene association against a cohort-matched random-label null — evaluated on 5 real endpoints, 5 synthetic scenarios, 60 pseudo-endpoints, one retrospective external consistency check (Auslander et al. 2018), and published benchmark studies — while on real bulk-tumor data the composite reduces to an affine transform of two standard association statistics and its categorical labels are advisory only.</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0.148 (IMPRES vs ElasticNet-Var); the largest between-endpoint effect (0.520) exceeds it 3.5× in point estimate (Supplementary Table S14); the paired bootstrap difference (endpoint effect minus method gap, same resamples) is positive in 90% (frozen track) and 84% (tuning track) of resamples but is not separable from zero at 95% confidence at n = 42 (Methods).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[23]</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[24]</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Table S27),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[25]</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[26]</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[0.582–0.735] (Table S28; this cell was not permutation-tested and is reported descriptively).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[27]</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Two public cohorts carry two clinical response definitions on the same patients. On Liu 2019, whose iAtlas harmonization annotates both RECIST and PFS, I defined durable clinical benefit (DCB) as progression-free at ≥6 months and excluded samples censored earlier; the two definitions agree substantially (κ = 0.669; 48 RECIST responders, 58 DCB), and switching between them moves predictions by at most 0.083 (ElasticNet-Var). On IMmotion150, applying the same construction to its harmonized PFS (DCB at ≥6 months) moves predictions by at most 0.082 (IMPRES, 0.545 → 0.462), with all six per-method deltas between 0.019 and 0.082. Both contrasts sit roughly sixfold below the circular collapse (0.520 on Riaz) and below the largest within-cohort method gap on the corresponding RECIST endpoint (0.195 on Liu, IMPRES vs TIDE; 0.159 on IMmotion150, GEP vs TIDE). This is consistent with the circularity account, which predicts that neither clinical definition injects gene–label dependency into the feature space; the contrast now spans a melanoma and a renal-cell-carcinoma cohort (both complete-case constructions, and IMmotion150's harmonization pools its monotherapy and combination arms), which strengthens it beyond a single-cohort observation while both instances remain supportive rather than dispositive. CDS places both Liu endpoints in the genuine-biology band (0.721 and 0.726 against null means of 0.622 and 0.549). IMPRES is the only method permutation-significant under both Liu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jc w:val="both"/>
      </w:pPr>
      <w:r>
        <w:rPr>
          <w:b/>
        </w:rPr>
        <w:t>Field audit: the surrogate-endpoint construction exists in the published literature.</w:t>
      </w:r>
      <w:r>
        <w:t xml:space="preserve"> The construction dissected above is not merely a hypothetical worst case. A structured audit of the published literature (PubMed and Google Scholar; queries pairing "TIDE", "immunophenoscore", or "cytolytic activity" with "immunotherapy response" and TCGA; cutoff 2026-09-26; Supplementary Table S30) identified seven studies that train or select immunotherapy-response predictors against gene-expression-derived response labels in cohorts without ICI outcomes. The immunophenoscore — one of the field's most widely applied response surrogates — was derived using machine learning on TCGA data partitioned by median cytolytic activity (GZMA/PRF1) within each cancer type </w:t>
      </w:r>
      <w:r>
        <w:rPr>
          <w:vertAlign w:val="superscript"/>
        </w:rPr>
        <w:t>[20]</w:t>
      </w:r>
      <w:r>
        <w:t xml:space="preserve">, and a substantial methodological literature trains ElasticNet, LASSO, or random-forest predictors against TIDE-derived responder calls on the same expression matrix </w:t>
      </w:r>
      <w:r>
        <w:rPr>
          <w:vertAlign w:val="superscript"/>
        </w:rPr>
        <w:t>[21,22]</w:t>
      </w:r>
      <w:r>
        <w:t>. The circular construction quantified here therefore corresponds to an instantiated practice, and the design rules of Table 9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I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frozen hyperparameters; tested statistic = perm-obs 0.528/0.497,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0.2853 and 0.3635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0.083 across six methods, and at most 0.082 between RECIST and PFS-derived DCB on IMmotion150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my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 trainable method's signal becomes detectable, consistent with the power analysis. IMPRES on Hugo carries the Carter et al. (2019) training-set-bias caveat </w:t>
      </w:r>
      <w:r>
        <w:rPr>
          <w:vertAlign w:val="superscript"/>
        </w:rPr>
        <w:t>[28]</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 GEP permutation-significant there at p = 0.017 while TIDE sits inside its null envelope at p = 0.952, Table S11),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on Hugo 2016: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0.148),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The paired comparison R1 raises is answered directly: within the same bootstrap resamples, the difference (Δ_endpoint − method gap) has point 0.314, 95% CI [−0.121, 0.420], positive in 90.1% of resamples on the frozen track, and point 0.240, 95% CI [−0.176, 0.318], positive in 83.7% on the tuning track (`effect_size_paired_diff_v33.json`) — the ordering is suggested but not established at 95% confidence at this sample size, and the Summary and Discussion wording is calibrated accordingly.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Endpoint-gene dependency check</w:t>
            </w:r>
          </w:p>
        </w:tc>
        <w:tc>
          <w:tcPr>
            <w:tcW w:type="dxa" w:w="2880"/>
          </w:tcPr>
          <w:p>
            <w:r>
              <w:rPr>
                <w:sz w:val="16"/>
              </w:rPr>
              <w:t>Not performed</w:t>
            </w:r>
          </w:p>
        </w:tc>
        <w:tc>
          <w:tcPr>
            <w:tcW w:type="dxa" w:w="2880"/>
          </w:tcPr>
          <w:p>
            <w:r>
              <w:rPr>
                <w:sz w:val="16"/>
              </w:rPr>
              <w:t>Declare endpoint-defining genes (binding); report CDS continuous value against a cohort-matched null (optional companion; categorical labels advisory)</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 its negative-control role is specific to endpoint-gene overlap, not overall accuracy;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†Clinical-endpoint trainable cells use 2,000–5,000 full-pipeline shuffles (each shuffle re-fits the pipeline, ≈60–90 s; the eight non-borderline clinical trainable cells were extended to this range on 2026-09-18, four cells to 5,000; Gide ElasticNet-MI 5,000 under the borderline-cell protocol; Gide ElasticNet-Var 500 — Table S11); the two Riaz cytolytic trainable cells use 500–1,000 (both reach p ≤ 0.002);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its SKCM–COAD contrast partially conflates cancer type with metastatic-versus-primary composition (the SKCM signal is metastatic-carried; Table S15), and the multivariate adjustment — now run for BRCA, LUAD and COAD — attenuates the protective ordering outside melanoma (BRCA 1/12 — Myeloid, adverse-directed and biologically coherent with myeloid-driven immunosuppression in breast cancer; LUAD 0/12; COAD 0/12; Table S15), so it conditions rather than demonstrates the account, and element (i) of the predictive account rests on the executed replications plus this conditional anchor rather than on the anchor alone. The account also predicts that two clinical definitions of the same construct should barely move predictions; the RECIST-versus-DCB contrasts provide direct support — Liu 2019 (largest endpoint-switch Δ = 0.083 across six methods) and IMmotion150 (Δ = 0.082), each below its within-cohort method gap, across a melanoma and a renal-cell-carcinoma cohort (both complete-case constructions; Table S26).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0.148); across cohorts the between-method spread reaches 0.508 (Jung), which is why the endpoint effect must be demonstrated within-cohort — at n = 43, </w:t>
      </w:r>
      <w:r>
        <w:rPr>
          <w:i/>
        </w:rPr>
        <w:t>how you define response can matter as much as or more than which algorithm you choose</w:t>
      </w:r>
      <w:r>
        <w:t xml:space="preserve"> (point estimate; paired bootstrap in Methods).</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the null-referenced companion reading; the remaining rows reinforce reporting standards codified for prediction models and biomarker studies (REMARK, TRIPOD, PROBAST) </w:t>
      </w:r>
      <w:r>
        <w:t>[29–31]</w:t>
      </w:r>
      <w:r>
        <w:t xml:space="preserve">. Beyond immunotherapy, any transcriptomic prediction task using a gene-defined surrogate carries the same circularity risk, and CDS generalizes to any expression matrix paired with a binary label. I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 xml:space="preserve">The cytolytic → RECIST collapse (largest Δ = 0.520, ElasticNet-Var) generalizes: any molecular surrogate operationally defined by genes in the feature space creates a circular prediction task. The field audit (Results; Supplementary Table S30) locates this construction in the published literature: the immunophenoscore was derived against a cytolytic-activity median split </w:t>
      </w:r>
      <w:r>
        <w:rPr>
          <w:vertAlign w:val="superscript"/>
        </w:rPr>
        <w:t>[20]</w:t>
      </w:r>
      <w:r>
        <w:t xml:space="preserve">, and TIDE-derived responder calls serve as training labels for response predictors across tumor types </w:t>
      </w:r>
      <w:r>
        <w:rPr>
          <w:vertAlign w:val="superscript"/>
        </w:rPr>
        <w:t>[21,22]</w:t>
      </w:r>
      <w:r>
        <w:t>. The clinical-development lineage, by contrast, evaluates on clinical endpoints — which is precisely why the two segments must be reported separately, and why the clinical-endpoint rule of Table 9 binds both.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My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[28]</w:t>
      </w:r>
      <w:r>
        <w:t xml:space="preserve">; the inherited feature-selection-bias caveat is in Limitations. Benchmark studies should therefore report each method's known developmental limitations alongside performance. I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subsequent clinical development proceeded despite the same small-cohort limitations documented here — trial design, not retrospective AUROC benchmarking, was the arbiter of utility.</w:t>
      </w:r>
    </w:p>
    <w:p>
      <w:pPr>
        <w:pStyle w:val="Heading2"/>
      </w:pPr>
      <w:r>
        <w:t>Independent Prognostic Evidence: TCGA Immune-Signature Gradient and Its Composition Confound</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The multivariate adjustment now extends to BRCA, LUAD and COAD, and the protective pattern does not survive it: BRCA retains 1/12 (Myeloid, adverse direction, HR 1.154), LUAD 0/12, and COAD — refetched from the GDC current index — 0/12 (n = 421, 89 events; Table S15) — the univariate protective ordering outside melanoma is largely absorbed by age- and stage-composition.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within each cancer type (12 tests per cancer type).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and — as the multivariate adjustment above shows — absorbed almost entirely by age- and stage-composition outside melanoma).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I recommend for benchmarking tools — an epistemological tension I acknowledge. Its current status:</w:t>
      </w:r>
    </w:p>
    <w:p>
      <w:pPr>
        <w:pStyle w:val="ListBullet"/>
      </w:pPr>
      <w:r>
        <w:t>**What CDS can do:** Make the circular construction explicit — declaring endpoint-defining genes identifies circularity by construction, program-agnostic across endpoint types (Supplementary Table S18); this rule, not the score, is the deliverable.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[33]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contrasts bound the non-circular component: RECIST versus PFS-derived DCB moves no method by more than 0.083 on Liu 2019 and 0.082 on IMmotion150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[28];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Protocol timeline: the pre-declared replication protocols are timestamped in the repository history — the Liu 2019 protocol and the GSE274975 pre-declared pipeline were committed at repository inception (2026-09-16, commit a745d2e), the IMmotion150 and STAD protocols on 2026-09-19, and the GSE274975 executed variant on 2026-09-20 (after endpoint recovery; Table S19); all replication outputs are archived in the same history and in the Zenodo record published 2026-09-22 (DOI: 10.5281/zenodo.22746254).</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Table 9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 a reading that is seed-stable across 10 regenerated stratified splits (ElasticNet-MI 0.613 ± 0.041, ElasticNet-Var 0.624 ± 0.035; Supplementary Table S16);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0.148 (IMPRES 0.613 vs ElasticNet-Var 0.465),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r>
        <w:tc>
          <w:tcPr>
            <w:tcW w:type="dxa" w:w="2880"/>
          </w:tcPr>
          <w:p>
            <w:r>
              <w:rPr>
                <w:sz w:val="16"/>
              </w:rPr>
              <w:t>TCGA prognostic validation cohorts (SKCM/BRCA/LUAD/COAD)</w:t>
            </w:r>
          </w:p>
        </w:tc>
        <w:tc>
          <w:tcPr>
            <w:tcW w:type="dxa" w:w="2880"/>
          </w:tcPr>
          <w:p>
            <w:r>
              <w:rPr>
                <w:sz w:val="16"/>
              </w:rPr>
              <w:t>GDC portal (gdc.cancer.gov); cBioPortal</w:t>
            </w:r>
          </w:p>
        </w:tc>
        <w:tc>
          <w:tcPr>
            <w:tcW w:type="dxa" w:w="2880"/>
          </w:tcPr>
          <w:p>
            <w:r>
              <w:rPr>
                <w:sz w:val="16"/>
              </w:rPr>
              <w:t>TCGA-SKCM; TCGA-BRCA; TCGA-LUAD; TCGA-COAD</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