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Two clinical definitions on identical patients move predictions by at most 0.083.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mine). All hold methodology fixed and compare methods; my approach is orthogonal — I hold methods fixed and systematically vary methodological choices, asking which design decisions, rather than which algorithms, determine benchmark outcomes. The surrogate-endpoint variant of this problem is not hypothetical: the immunophenoscore, a widely applied response surrogate, was derived using machine learning on TCGA data partitioned by median cytolytic activity (GZMA/PRF1) within each cancer type </w:t>
      </w:r>
      <w:r>
        <w:rPr>
          <w:vertAlign w:val="superscript"/>
        </w:rPr>
        <w:t>[20]</w:t>
      </w:r>
      <w:r>
        <w:t xml:space="preserve">, and a substantial methodological literature trains or selects transcriptomic response predictors against gene-expression-derived responder calls such as TIDE-score dichotomies </w:t>
      </w:r>
      <w:r>
        <w:rPr>
          <w:vertAlign w:val="superscript"/>
        </w:rPr>
        <w:t>[21,22]</w:t>
      </w:r>
      <w:r>
        <w:t xml:space="preserve"> (field audit in Results; Supplementary Table S30). Here I present SPATBench, a computational framework and benchmark resource asking: </w:t>
      </w:r>
      <w:r>
        <w:rPr>
          <w:i/>
        </w:rPr>
        <w:t>given that rankings are unreliable at available sample sizes, which methodological choices contribute most to that unreliability, and by how much?</w:t>
      </w:r>
      <w:r>
        <w:t xml:space="preserve"> My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reporting convention for pre-benchmarking endpoint assessment whose binding rule is the declaration of endpoint-defining genes: any gene-defined surrogate is circular by construction, whatever any score reads. Its quantitative companion, the Circularity Detection Score (CDS), null-references endpoint-gene association against a cohort-matched random-label null — evaluated on 5 real endpoints, 5 synthetic scenarios, 60 pseudo-endpoints, one retrospective external consistency check (Auslander et al. 2018), and published benchmark studies — while on real bulk-tumor data the composite reduces to an affine transform of two standard association statistics and its categorical labels are advisory only.</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[23]</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[24]</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Table S27),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[25]</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[26]</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[0.582–0.735] (Table S28; this cell was not permutation-tested and is reported descriptively).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[27]</w:t>
      </w:r>
      <w:r>
        <w:t xml:space="preserve"> (metastatic gastric cancer, n = 78, all anti-PD-1; TIGER portal). RECIST yields GEP 0.744 [0.602–0.854], perm p = 0.00034, BH q = 0.001 — the strongest GEP signal in the replication series and the strongest FDR-level confirmation in a non-melanoma, non-RCC tumor type (BH q = 0.001, versus 0.010 for IMvigor210).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I defined durable clinical benefit (DCB) as progression-free at ≥6 months and excluded samples censored earlier. The two definitions agree substantially (κ = 0.669; 48 RECIST responders, 58 DCB). Across all six methods, switching between them moves predictions by at most 0.083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jc w:val="both"/>
      </w:pPr>
      <w:r>
        <w:rPr>
          <w:b/>
        </w:rPr>
        <w:t>Field audit: the surrogate-endpoint construction exists in the published literature.</w:t>
      </w:r>
      <w:r>
        <w:t xml:space="preserve"> The construction dissected above is not merely a hypothetical worst case. A structured audit of the published literature (PubMed and Google Scholar; queries pairing "TIDE", "immunophenoscore", or "cytolytic activity" with "immunotherapy response" and TCGA; cutoff 2026-09-26; Supplementary Table S30) identified seven studies that train or select immunotherapy-response predictors against gene-expression-derived response labels in cohorts without ICI outcomes. The immunophenoscore — one of the field's most widely applied response surrogates — was derived using machine learning on TCGA data partitioned by median cytolytic activity (GZMA/PRF1) within each cancer type </w:t>
      </w:r>
      <w:r>
        <w:rPr>
          <w:vertAlign w:val="superscript"/>
        </w:rPr>
        <w:t>[20]</w:t>
      </w:r>
      <w:r>
        <w:t xml:space="preserve">, and a substantial methodological literature trains ElasticNet, LASSO, or random-forest predictors against TIDE-derived responder calls on the same expression matrix </w:t>
      </w:r>
      <w:r>
        <w:rPr>
          <w:vertAlign w:val="superscript"/>
        </w:rPr>
        <w:t>[21,22]</w:t>
      </w:r>
      <w:r>
        <w:t>. The circular construction quantified here therefore corresponds to an instantiated practice, and the design rules of Table 9 apply to this literature segment with the same force as to clinical-endpoint benchmarking.</w:t>
      </w:r>
    </w:p>
    <w:p>
      <w:pPr>
        <w:pStyle w:val="Heading2"/>
      </w:pPr>
      <w:r>
        <w:t>Design Choice 2: Feature Selection Determines Biological Interpretation</w:t>
      </w:r>
    </w:p>
    <w:p>
      <w:pPr>
        <w:jc w:val="both"/>
      </w:pPr>
      <w:r>
        <w:t>Within identical ElasticNet models on Hugo 2016 (n = 28, RECIST) I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(5,000 full-pipeline shuffles, frozen hyperparameters; tested statistic = perm-obs 0.528/0.497, Table S11)</w:t>
            </w:r>
          </w:p>
        </w:tc>
        <w:tc>
          <w:tcPr>
            <w:tcW w:type="dxa" w:w="2160"/>
          </w:tcPr>
          <w:p>
            <w:r>
              <w:rPr>
                <w:sz w:val="16"/>
              </w:rPr>
              <w:t>0.2853</w:t>
            </w:r>
          </w:p>
        </w:tc>
        <w:tc>
          <w:tcPr>
            <w:tcW w:type="dxa" w:w="2160"/>
          </w:tcPr>
          <w:p>
            <w:r>
              <w:rPr>
                <w:sz w:val="16"/>
              </w:rPr>
              <w:t>0.3635</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0.083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newly executed clinical replications return HIGH as well (GSE274975 RECIST 0.750 vs null mean 0.488; IMmotion150 RECIST 0.741 vs 0.492; STAD_PRJEB25780 RECIST 0.779 vs 0.601): across these cohorts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my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 trainable method's signal becomes detectable, consistent with the power analysis. IMPRES on Hugo carries the Carter et al. (2019) training-set-bias caveat </w:t>
      </w:r>
      <w:r>
        <w:rPr>
          <w:vertAlign w:val="superscript"/>
        </w:rPr>
        <w:t>[28]</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 GEP permutation-significant there at p = 0.017 while TIDE sits inside its null envelope at p = 0.952, Table S11),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on Hugo 2016: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Endpoint-gene dependency check</w:t>
            </w:r>
          </w:p>
        </w:tc>
        <w:tc>
          <w:tcPr>
            <w:tcW w:type="dxa" w:w="2880"/>
          </w:tcPr>
          <w:p>
            <w:r>
              <w:rPr>
                <w:sz w:val="16"/>
              </w:rPr>
              <w:t>Not performed</w:t>
            </w:r>
          </w:p>
        </w:tc>
        <w:tc>
          <w:tcPr>
            <w:tcW w:type="dxa" w:w="2880"/>
          </w:tcPr>
          <w:p>
            <w:r>
              <w:rPr>
                <w:sz w:val="16"/>
              </w:rPr>
              <w:t>Declare endpoint-defining genes (binding); report CDS continuous value against a cohort-matched null (optional companion; categorical labels advisory)</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 its negative-control role is specific to endpoint-gene overlap, not overall accuracy;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†Clinical-endpoint trainable cells use 2,000–5,000 full-pipeline shuffles (each shuffle re-fits the pipeline, ≈60–90 s; the eight non-borderline clinical trainable cells were extended to this range on 2026-09-18, four cells to 5,000; Gide ElasticNet-MI 5,000 under the borderline-cell protocol; Gide ElasticNet-Var 500 — Table S11); the two Riaz cytolytic trainable cells use 500–1,000 (both reach p ≤ 0.002);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0.083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four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the null-referenced companion reading; the remaining rows reinforce reporting standards codified for prediction models and biomarker studies (REMARK, TRIPOD, PROBAST) </w:t>
      </w:r>
      <w:r>
        <w:t>[29–31]</w:t>
      </w:r>
      <w:r>
        <w:t xml:space="preserve">. Beyond immunotherapy, any transcriptomic prediction task using a gene-defined surrogate carries the same circularity risk, and CDS generalizes to any expression matrix paired with a binary label. I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 xml:space="preserve">The cytolytic → RECIST collapse (largest Δ = 0.520, ElasticNet-Var) generalizes: any molecular surrogate operationally defined by genes in the feature space creates a circular prediction task. The field audit (Results; Supplementary Table S30) locates this construction in the published literature: the immunophenoscore was derived against a cytolytic-activity median split </w:t>
      </w:r>
      <w:r>
        <w:rPr>
          <w:vertAlign w:val="superscript"/>
        </w:rPr>
        <w:t>[20]</w:t>
      </w:r>
      <w:r>
        <w:t xml:space="preserve">, and TIDE-derived responder calls serve as training labels for response predictors across tumor types </w:t>
      </w:r>
      <w:r>
        <w:rPr>
          <w:vertAlign w:val="superscript"/>
        </w:rPr>
        <w:t>[21,22]</w:t>
      </w:r>
      <w:r>
        <w:t>. The clinical-development lineage, by contrast, evaluates on clinical endpoints — which is precisely why the two segments must be reported separately, and why the clinical-endpoint rule of Table 9 binds both.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My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[28]</w:t>
      </w:r>
      <w:r>
        <w:t xml:space="preserve">; the inherited feature-selection-bias caveat is in Limitations. Benchmark studies should therefore report each method's known developmental limitations alongside performance. I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subsequent clinical development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within each cancer type (12 tests per cancer type).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CDS is itself subject to the same validation standards I recommend for benchmarking tools — an epistemological tension I acknowledge. Its current status:</w:t>
      </w:r>
    </w:p>
    <w:p>
      <w:pPr>
        <w:pStyle w:val="ListBullet"/>
      </w:pPr>
      <w:r>
        <w:t>**What CDS can do:** Make the circular construction explicit — declaring endpoint-defining genes identifies circularity by construction, program-agnostic across endpoint types (Supplementary Table S18); this rule, not the score, is the deliverable.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[33]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C3 saturates at 1.000 on every real cohort and all 60 pseudo-endpoints (Table S18), leaving C1 and C2 as the sole discrimination sources; on genuine clinical endpoints the resulting readings are biology-dependent and span the scale — above the null in Gide melanoma (0.852 vs null max 0.800) and the four executed replication cohorts (0.721–0.779), yet below the null mean in IMvigor210 UC (0.434 vs 0.492) — so a HIGH clinical-endpoint reading cannot be read as evidence of circularity;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IMvigor210,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0.083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evidence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[28];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[34]</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[35]</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[36]</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[34]</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I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I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[37]</w:t>
      </w:r>
      <w:r>
        <w:t xml:space="preserve">. Immune deconvolution signatures (14 cell types, 43 unique genes; Supplementary Table S10) </w:t>
      </w:r>
      <w:r>
        <w:rPr>
          <w:vertAlign w:val="superscript"/>
        </w:rPr>
        <w:t>[38]</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I report AUROC as the primary metric with 95% bootstrap confidence intervals (1,000 iterations) </w:t>
      </w:r>
      <w:r>
        <w:rPr>
          <w:vertAlign w:val="superscript"/>
        </w:rPr>
        <w:t>[39]</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I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[40]</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This re-run is reported as exploratory — not matrix-level — evidence: XGBoost does not enter the 36-cell matrix because the development-phase prediction tables were not retained under the current protocol, its permutation resolution (1,000 shuffles) falls below the Table 9 floor for trainable cells, and its family structure (seven cells) differs from the pre-registered six-cell families; the detectability-onset reading at n = 73 is carried by the two pre-registered ElasticNet variants, and the XGBoost re-run is consistent with — but not constitutive of — that reading.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my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[41]</w:t>
      </w:r>
      <w:r>
        <w:t xml:space="preserve"> was considered but the bootstrap version was used throughout — I refer to these as paired bootstrap tests, not DeLong tests). The Bonferroni threshold (p &lt; 0.05/36 ≈ 0.0014) is unattainable for the trainable methods at their recorded shuffle resolutions — I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I computed the range of AUROC values attributable to each source on the Riaz 2017 cohort: (a) between-endpoint ΔAUROC for each method; (b) between-method ΔAUROC within each endpoint; (c) between-feature-selection ΔAUROC within ElasticNet. I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On real bulk-tumor cohorts C3 saturates at 1.000 (Limitations), so the released composite reduces to CDS = 0.4 + 0.3·(C1n + C2) — an affine transform of two standard association statistics (mutual information and |Spearman ρ|); the validated reading is therefore the continuous value against a cohort-matched random-label null, not the weighting itself.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[42]</w:t>
      </w:r>
      <w:r>
        <w:t xml:space="preserve">. I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I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my three real endpoints, I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my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I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I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I deliberately ship a single threshold set (HIGH &gt; 0.70, MODERATE 0.30–0.70, LOW ≤ 0.30) — identical in the manuscript, in the released pip package, and in all archived result files — so that users replicating my analysis obtain exactly my labels. A more conservative HIGH threshold of 0.80 (false-positive rate 0/30 on the synthetic null) is reported for transparency and will be adopted in CDS v2.0 together with a permutation-based C3. I recommend reporting the continuous CDS value; categorical risk assignments are advisory.</w:t>
      </w:r>
    </w:p>
    <w:p>
      <w:pPr>
        <w:jc w:val="both"/>
      </w:pPr>
      <w:r>
        <w:t xml:space="preserve">To characterize what CDS measures, I generated 30 pseudo-endpoints per cohort from real gene programs </w:t>
      </w:r>
      <w:r>
        <w:rPr>
          <w:vertAlign w:val="superscript"/>
        </w:rPr>
        <w:t>[43]</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I recognize the inherent tension: CDS is itself subject to the same validation standards I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[44]</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I note that Carter et al. (2019) identified potential training-set bias in the original IMPRES feature selection (34% non-random repeats) </w:t>
      </w:r>
      <w:r>
        <w:rPr>
          <w:vertAlign w:val="superscript"/>
        </w:rPr>
        <w:t>[28]</w:t>
      </w:r>
      <w:r>
        <w:t>. The extent to which IMPRES's Hugo performance reflects genuine biology versus inherited feature selection bias is unresolved; I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 / GSE274975</w:t>
            </w:r>
          </w:p>
        </w:tc>
        <w:tc>
          <w:tcPr>
            <w:tcW w:type="dxa" w:w="2880"/>
          </w:tcPr>
          <w:p>
            <w:r>
              <w:rPr>
                <w:sz w:val="16"/>
              </w:rPr>
              <w:t>GEO</w:t>
            </w:r>
          </w:p>
        </w:tc>
        <w:tc>
          <w:tcPr>
            <w:tcW w:type="dxa" w:w="2880"/>
          </w:tcPr>
          <w:p>
            <w:r>
              <w:rPr>
                <w:sz w:val="16"/>
              </w:rPr>
              <w:t>GSE78220; GSE91061; GSE100797; GSE135222; GSE274975</w:t>
            </w:r>
          </w:p>
        </w:tc>
      </w:tr>
      <w:tr>
        <w:tc>
          <w:tcPr>
            <w:tcW w:type="dxa" w:w="2880"/>
          </w:tcPr>
          <w:p>
            <w:r>
              <w:rPr>
                <w:sz w:val="16"/>
              </w:rPr>
              <w:t>mel/blca/liu/rcc iatlas cohorts</w:t>
            </w:r>
          </w:p>
        </w:tc>
        <w:tc>
          <w:tcPr>
            <w:tcW w:type="dxa" w:w="2880"/>
          </w:tcPr>
          <w:p>
            <w:r>
              <w:rPr>
                <w:sz w:val="16"/>
              </w:rPr>
              <w:t>cBioPortal</w:t>
            </w:r>
          </w:p>
        </w:tc>
        <w:tc>
          <w:tcPr>
            <w:tcW w:type="dxa" w:w="2880"/>
          </w:tcPr>
          <w:p>
            <w:r>
              <w:rPr>
                <w:sz w:val="16"/>
              </w:rPr>
              <w:t>mel_iatlas_gide_2019; blca_iatlas_imvigor210_2017; mel_iatlas_liu_2019; rcc_iatlas_immotion150_2018</w:t>
            </w:r>
          </w:p>
        </w:tc>
      </w:tr>
      <w:tr>
        <w:tc>
          <w:tcPr>
            <w:tcW w:type="dxa" w:w="2880"/>
          </w:tcPr>
          <w:p>
            <w:r>
              <w:rPr>
                <w:sz w:val="16"/>
              </w:rPr>
              <w:t>PRJEB25780 (gastric, TIGER portal)</w:t>
            </w:r>
          </w:p>
        </w:tc>
        <w:tc>
          <w:tcPr>
            <w:tcW w:type="dxa" w:w="2880"/>
          </w:tcPr>
          <w:p>
            <w:r>
              <w:rPr>
                <w:sz w:val="16"/>
              </w:rPr>
              <w:t>ENA</w:t>
            </w:r>
          </w:p>
        </w:tc>
        <w:tc>
          <w:tcPr>
            <w:tcW w:type="dxa" w:w="2880"/>
          </w:tcPr>
          <w:p>
            <w:r>
              <w:rPr>
                <w:sz w:val="16"/>
              </w:rPr>
              <w:t>PRJEB25780</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**Table S29:** Fifth-cancer-type replication — gastric cancer PRJEB25780 (TIGER portal)</w:t>
      </w:r>
    </w:p>
    <w:p>
      <w:pPr>
        <w:pStyle w:val="ListBullet"/>
      </w:pPr>
      <w:r>
        <w:t>**Table S30:** Field audit — published studies training or selecting immunotherapy-response predictors against gene-expression-derived response labels</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trainable cells show obs/perm-obs (the p value tests the perm-obs statistic under frozen hyperparameters, Table S11);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(trainable cells: obs/perm-obs)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Corney, M., Fouché, A., Bouget, V., and Duquesne, J. (2026). A transcriptomic benchmark for foundation models in immunology and inflammation drug development. *Learning Meaningful Representations of Life (LMRL) Workshop at ICLR 2026* (poster).</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Charoentong, P., Finotello, F., Angelova, M., Mayer, C., Efremova, M., Rieder, D., Hackl, H., and Trajanoski, Z. (2017). Pan-cancer immunogenomic analyses reveal genotype-immunophenotype relationships and predictors of response to checkpoint blockade. *Cell Rep*, 18, 248–262. doi:10.1016/j.celrep.2016.12.019</w:t>
      </w:r>
    </w:p>
    <w:p>
      <w:pPr>
        <w:pStyle w:val="ListNumber"/>
      </w:pPr>
      <w:r>
        <w:t>Wang, L., Wu, H., Chen, Y., Wang, G., Ren, S., Zhang, Y., Zhou, J., He, J., Chen, J., and Zhang, X. (2025). Single-cell RNA sequencing reveals neutrophil differentiation-related genes for immunotherapy response prediction in colorectal cancer. *BMC Cancer*, 25, 1925. doi:10.1186/s12885-025-15355-7</w:t>
      </w:r>
    </w:p>
    <w:p>
      <w:pPr>
        <w:pStyle w:val="ListNumber"/>
      </w:pPr>
      <w:r>
        <w:t>Nam, D.-Y., and Rhee, J.-K. (2024). Identifying microRNAs associated with tumor immunotherapy response using an interpretable machine learning model. *Sci Rep*, 14, 6172. doi:10.1038/s41598-024-56843-3</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Cristescu, R., Bass, A.J., Kim, K.-M., Odegaard, J.I., Kim, K., Liu, X.Q., Sher, X., Jung, H., Lee, M., et al. (2018). Comprehensive molecular characterization of clinical responses to PD-1 inhibition in metastatic gastric cancer. *Nat Med*, 24, 1449–1458. doi:10.1038/s41591-018-0101-z</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Collins, G.S., Reitsma, J.B., Altman, D.G., and Moons, K.G.M. (2015). Transparent reporting of a multivariable prediction model for individual prognosis or diagnosis (TRIPOD): the TRIPOD statement. *BMC Med*, 13, 1. doi:10.1186/s12916-014-0241-z</w:t>
      </w:r>
    </w:p>
    <w:p>
      <w:pPr>
        <w:pStyle w:val="ListNumber"/>
      </w:pPr>
      <w:r>
        <w:t>Wolff, R.F., Moons, K.G.M., Riley, R.D., Whiting, P.F., Westwood, M., Collins, G.S., Reitsma, J.B., Kleijnen, J., and Mallett, S. (2019). PROBAST: a tool to assess the risk of bias and applicability of prediction model studies. *Ann Intern Med*, 170, 51–58. doi:10.7326/M18-1376</w:t>
      </w:r>
    </w:p>
    <w:p>
      <w:pPr>
        <w:pStyle w:val="ListNumber"/>
      </w:pPr>
      <w:r>
        <w:t>McShane, L.M., Altman, D.G., Sauerbrei, W., Taube, S.E., Gion, M., and Clark, G.M. (2005). REporting recommendations for tumour MARKer prognostic studies (REMARK). *Br J Cancer*, 93, 387–391. doi:10.1038/sj.bjc.6602678</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Zhixian Huang</dc:creator>
  <cp:keywords/>
  <dc:description>generated by python-docx</dc:description>
  <cp:lastModifiedBy>Zhixian Huang</cp:lastModifiedBy>
  <cp:revision>1</cp:revision>
  <dcterms:created xsi:type="dcterms:W3CDTF">2013-12-23T23:15:00Z</dcterms:created>
  <dcterms:modified xsi:type="dcterms:W3CDTF">2013-12-23T23:15:00Z</dcterms:modified>
  <cp:category/>
</cp:coreProperties>
</file>