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[21]</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[22]</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two further cohorts with full endpoint-switch replication (Liu 2019, melanoma; IMvigor210, bladder carcinoma — the latter a cytolytic-to-RECIST switch on 297 patients with a clinical RECIST endpoint,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tumour type (no suitable NSCLC RECIST cohort exists; Limitations);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[22]</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[23]</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NSCLC replication remains an open gap: the pre-declared candidate (GSE274975) lacks clinical endpoints, and a documented screen of the ten iAtlas harmonizations (no NSCLC study exists there) and of GEO found no suitable NSCLC ICI cohort with dual endpoints and public expression data.</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[22];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[25]</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[26]</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[27]</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[25]</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[28]</w:t>
      </w:r>
      <w:r>
        <w:t xml:space="preserve">. Immune deconvolution signatures (14 cell types, 43 unique genes; Supplementary Table S10) </w:t>
      </w:r>
      <w:r>
        <w:rPr>
          <w:vertAlign w:val="superscript"/>
        </w:rPr>
        <w:t>[29]</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[30]</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[31]</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[32]</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[33]</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[34]</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[35]</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[22]</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