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30" w:line="240" w:lineRule="auto"/>
      </w:pPr>
      <w:r>
        <w:rPr>
          <w:b/>
          <w:rFonts w:ascii="Times New Roman" w:hAnsi="Times New Roman"/>
          <w:sz w:val="28"/>
        </w:rPr>
        <w:t xml:space="preserve">EmoScope: A Multimodal Emotion Recognition and Psychological</w:t>
      </w:r>
    </w:p>
    <w:p>
      <w:pPr>
        <w:jc w:val="center"/>
        <w:spacing w:after="200" w:line="240" w:lineRule="auto"/>
      </w:pPr>
      <w:r>
        <w:rPr>
          <w:b/>
          <w:rFonts w:ascii="Times New Roman" w:hAnsi="Times New Roman"/>
          <w:sz w:val="28"/>
        </w:rPr>
        <w:t xml:space="preserve">Assessment System Based on On-Device Artificial Intelligence</w:t>
      </w:r>
    </w:p>
    <w:p>
      <w:pPr>
        <w:jc w:val="center"/>
        <w:spacing w:after="20"/>
      </w:pPr>
      <w:r>
        <w:rPr>
          <w:rFonts w:ascii="Times New Roman" w:hAnsi="Times New Roman"/>
          <w:sz w:val="24"/>
        </w:rPr>
        <w:t xml:space="preserve">Ziyang Huang 2025112735</w:t>
      </w:r>
    </w:p>
    <w:p>
      <w:pPr>
        <w:jc w:val="center"/>
        <w:spacing w:after="400"/>
      </w:pPr>
      <w:r>
        <w:rPr>
          <w:rFonts w:ascii="Times New Roman" w:hAnsi="Times New Roman"/>
          <w:sz w:val="24"/>
        </w:rPr>
        <w:t xml:space="preserve">School of Economics and Management, Harbin Institute of Technology</w:t>
      </w:r>
    </w:p>
    <w:p>
      <w:pPr>
        <w:spacing w:after="60"/>
      </w:pPr>
      <w:r>
        <w:rPr>
          <w:b/>
          <w:rFonts w:ascii="Times New Roman" w:hAnsi="Times New Roman"/>
          <w:sz w:val="24"/>
        </w:rPr>
        <w:t xml:space="preserve">Abstract</w:t>
      </w:r>
    </w:p>
    <w:p>
      <w:pPr>
        <w:ind w:left="567" w:right="567" w:firstLine="567"/>
        <w:spacing w:after="120" w:line="240" w:lineRule="auto"/>
      </w:pPr>
      <w:r>
        <w:rPr>
          <w:rFonts w:ascii="Times New Roman" w:hAnsi="Times New Roman"/>
          <w:sz w:val="24"/>
        </w:rPr>
        <w:t xml:space="preserve">Mental health disorders constitute one of the most pressing global public health challenges, affecting approximately 970 million individuals and causing an estimated 12 billion lost working days annually (World Health Organization 2022). Despite the proliferation of smartphone-based mood-tracking applications, virtually all extant solutions rely exclusively on active self-reporting, a methodology constrained by recall bias, social desirability effects, and attrition rates exceeding 60% within the first fortnight. The present study introduces EmoScope, an integrated Android application that advances beyond self-report paradigms through passive, sensor-driven multimodal emotion recognition. The system employs Google MediaPipe FaceLandmarker to extract 52 blendshape coefficients from CameraX image streams at 640x480 resolution, mapping these vectors through hand-engineered weight matrices with pre-parsed float multipliers to a clinically extended 10-dimensional emotion space (Joy, Calm, Surprise, Contempt, Sadness, Anxiety, Anger, Fear, Disgust, Fatigue). An Exponentially Weighted Moving Average filter (alpha = 0.3) reduces per-frame jitter from +/-17 to +/-4 percentage points. A calibrated weighted scoring algorithm synthesises the normalised percentages into a unified 0-100 well-being index (Joy weight = 95, Disgust weight = 8). Voice analysis utilises Android SpeechRecognizer (zh-CN) with speech-rate classification (over 4.5 char/s indicating agitation; under 1.5 char/s suggesting depressive retardation). The DeepSeek large language model (deepseek-chat, temperature = 0.7, max_tokens = 200) fuses facial emotion readings, transcribed utterances, speech-rate classification, and ambient luminance into empathetic psychological narratives with exponential-backoff retry. A fully local AiMemoryEngine performs keyword-frequency analysis across 33 stress-domain and 28 joy-domain keywords over a 30-day retrospective window, computing daily mean scores, top-three stress and joy source rankings, dominant emotion classification, week-over-week trend detection with directional descriptors (improving, stable, or declining based on an 8-point threshold), emotional extrema, and maximum consecutive-day streak length, complemented by a generateWeeklyReportData() method that produces structured JSON for Canvas-based PNG report rendering or external export. A LocalDataManager module additionally enables full-database JSON serialisation to external storage for user data portability. Crisis intervention is mediated through a triple-trigger architecture (autonomous facial negativity detection at 35% threshold, accelerometer shake recognition at 2.5g with 4,000 ms cooldown, and manual button) gated by a 3-2-1 countdown confirmation dialogue that preserves user agency at the terminal decision point. The application follows MVVM architecture, comprises 234 files (30 Java source files, 139 vector drawables, 7 XML layouts), compiles to a 49 MB release APK with R8 optimisation, and supports Android 7.0 through 15. All biometric inference executes on-device; credentials are encrypted via Android Keystore AES-256-GCM with hardware-backed key storage in TEE/StrongBox. Functional evaluation demonstrates over 40-point dynamic range in the well-being index, 100% emotion-score extraction rate following regex synchronisation correction, sub-0.5-second manual SOS trigger latency, correct week-over-week trend classification, and reliable JSON record export. These findings support the technical viability of privacy-preserving, clinically informed multimodal emotion inference on consumer smartphones for scalable mental wellness monitoring.</w:t>
      </w:r>
    </w:p>
    <w:p>
      <w:pPr>
        <w:ind w:left="567"/>
        <w:spacing w:after="400"/>
      </w:pPr>
      <w:r>
        <w:rPr>
          <w:b/>
          <w:rFonts w:ascii="Times New Roman" w:hAnsi="Times New Roman"/>
          <w:sz w:val="24"/>
        </w:rPr>
        <w:t xml:space="preserve">Key words: </w:t>
      </w:r>
      <w:r>
        <w:rPr>
          <w:rFonts w:ascii="Times New Roman" w:hAnsi="Times New Roman"/>
          <w:sz w:val="24"/>
        </w:rPr>
        <w:t xml:space="preserve">emotion recognition; facial blendshape analysis; MediaPipe FaceLandmarker; multimodal affective computing; mobile mental wellness; on-device machine learning; longitudinal memory analysis; crisis intervention</w:t>
      </w:r>
    </w:p>
    <!-- ===== 1. INTRODUCTION ===== -->
    <w:p>
      <w:pPr>
        <w:spacing w:before="120"/>
      </w:pPr>
      <w:r>
        <w:rPr>
          <w:b/>
          <w:rFonts w:ascii="Times New Roman" w:hAnsi="Times New Roman"/>
          <w:sz w:val="24"/>
        </w:rPr>
        <w:t xml:space="preserve">1. Introduction</w:t>
      </w:r>
    </w:p>
    <w:p>
      <w:pPr>
        <w:ind w:firstLine="567"/>
      </w:pPr>
      <w:r>
        <w:rPr>
          <w:rFonts w:ascii="Times New Roman" w:hAnsi="Times New Roman"/>
          <w:sz w:val="24"/>
        </w:rPr>
        <w:t xml:space="preserve">The global burden of mental illness has reached unprecedented proportions: approximately 970 million individuals live with a diagnosable mental health condition, with depressive and anxiety disorders alone contributing an estimated 12 billion lost working days and one trillion US dollars in annual productivity losses (World Health Organization 2022). A persistent treatment gap endures—over 50% in high-income countries, over 90% in low- and middle-income settings—driven by structural barriers including insufficient trained professionals, prohibitive costs, geographic maldistribution of services, and deeply entrenched social stigma (Torous et al. 2018). Smartphone-based digital interventions have been proposed as scalable complements to traditional service delivery, leveraging near-universal device penetration, increasingly powerful on-device computation, a rich embedded sensor suite, and continuous user proximity (Harari et al. 2016). However, virtually all extant consumer mood-tracking applications rely exclusively on active self-reporting—a methodology fundamentally constrained by recall bias, social desirability bias, and catastrophic attrition rates of 60-80% within the first two weeks (Baumel et al. 2019). The periods of greatest clinical need are precisely when the behavioural requirements of active self-report are least likely to be fulfilled (Shiffman, Stone, and Hufford 2008).</w:t>
      </w:r>
    </w:p>
    <w:p>
      <w:pPr>
        <w:ind w:firstLine="567"/>
      </w:pPr>
      <w:r>
        <w:rPr>
          <w:rFonts w:ascii="Times New Roman" w:hAnsi="Times New Roman"/>
          <w:sz w:val="24"/>
        </w:rPr>
        <w:t xml:space="preserve">Facial expression analysis, grounded in Ekman's cross-cultural research on six pancultural basic emotions and formalised through the Facial Action Coding System (FACS) decomposing expressions into 46 elementary Action Units (Ekman 1999), offers the most extensively validated non-invasive channel for automated emotion recognition. Google MediaPipe FaceLandmarker advances this paradigm by enabling real-time, on-device detection of 478 facial landmarks and inference of 52 continuous blendshape coefficients—a higher-dimensional representation capturing subtle, graded variations in expression intensity that categorical AU classification inherently collapses (Google Research 2023). Voice prosody provides a complementary, orthogonal channel: speech rate, pitch, and energy dynamics robustly covary with emotional arousal and valence (Schuller 2018), and remain available when facial analysis is precluded by darkness or non-face-directed device orientation. The emergence of large language models with sophisticated reasoning capabilities introduces a paradigm-shifting opportunity to fuse these heterogeneous multimodal signals into coherent, empathetically expressed psychological narratives.</w:t>
      </w:r>
    </w:p>
    <w:p>
      <w:pPr>
        <w:ind w:firstLine="567"/>
      </w:pPr>
      <w:r>
        <w:rPr>
          <w:rFonts w:ascii="Times New Roman" w:hAnsi="Times New Roman"/>
          <w:sz w:val="24"/>
        </w:rPr>
        <w:t xml:space="preserve">This paper presents EmoScope, an integrated system engineered to address the self-report limitation through passive, sensor-driven multimodal emotion inference. The system unifies four capabilities: (1) real-time on-device facial emotion inference from 52 blendshape coefficients mapped through calibrated weight matrices to a 10-dimensional emotion space; (2) speech-to-text voice analysis with rate-based prosodic classification and custom real-time visual feedback; (3) an enhanced offline AI memory engine performing keyword-frequency analysis, dominant emotion classification, week-over-week trend detection, and structured JSON report generation across 30-day windows; and (4) a clinical-grade crisis intervention subsystem with triple-trigger activation. The primary contributions are: the design and calibration of the blendshape-to-emotion mapping; the architectural definition of a privacy boundary wherein raw biometric data never leaves the device; the implementation of a multi-dimensional local memory engine with trend analytics and structured data export; and the engineering of a triple-trigger SOS mechanism balancing detection sensitivity against user autonomy.</w:t>
      </w:r>
    </w:p>
    <!-- ===== 2. METHODS (Architecture + Facial + Voice) ===== -->
    <w:p>
      <w:pPr>
        <w:spacing w:before="120"/>
      </w:pPr>
      <w:r>
        <w:rPr>
          <w:b/>
          <w:rFonts w:ascii="Times New Roman" w:hAnsi="Times New Roman"/>
          <w:sz w:val="24"/>
        </w:rPr>
        <w:t xml:space="preserve">2. Methods</w:t>
      </w:r>
    </w:p>
    <w:p>
      <w:pPr>
        <w:spacing w:before="60"/>
      </w:pPr>
      <w:r>
        <w:rPr>
          <w:b/>
          <w:rFonts w:ascii="Times New Roman" w:hAnsi="Times New Roman"/>
          <w:sz w:val="24"/>
        </w:rPr>
        <w:t xml:space="preserve">2.1 System Architecture</w:t>
      </w:r>
    </w:p>
    <w:p>
      <w:pPr>
        <w:ind w:firstLine="567"/>
      </w:pPr>
      <w:r>
        <w:rPr>
          <w:rFonts w:ascii="Times New Roman" w:hAnsi="Times New Roman"/>
          <w:sz w:val="24"/>
        </w:rPr>
        <w:t xml:space="preserve">EmoScope is implemented as a native Android application (Java 11, API 24-36) following MVVM architecture with a single Activity hosting four Fragments. The codebase comprises 234 files (30 Java sources, 139 vector drawables, 7 XML layouts) organised into four layers: Engines (FaceAnalyzer, AiMemoryEngine, BreathingEngine, DeepSeekClient, EmoLineChartView), Controllers (CameraEmotionController, VoiceRecognitionController, SosInterventionController), Views (BreathingOverlayView, VoiceWaveView, SonarRippleView, ConfettiView), and Utilities (EmoDatabaseHelper, SecureStorage, StreakManager, LocalDataManager, NotificationHelper). The SQLite database stores all records on-device; credentials are encrypted via Android Keystore AES-256-GCM with hardware-backed key storage in TEE/StrongBox. Facial frames are processed exclusively on-device; only derived textual summaries cross the network to the DeepSeek API.</w:t>
      </w:r>
    </w:p>
    <w:p>
      <w:pPr>
        <w:spacing w:before="60"/>
      </w:pPr>
      <w:r>
        <w:rPr>
          <w:b/>
          <w:rFonts w:ascii="Times New Roman" w:hAnsi="Times New Roman"/>
          <w:sz w:val="24"/>
        </w:rPr>
        <w:t xml:space="preserve">2.2 Facial Emotion Analysis Pipeline</w:t>
      </w:r>
    </w:p>
    <w:p>
      <w:pPr>
        <w:ind w:firstLine="567"/>
      </w:pPr>
      <w:r>
        <w:rPr>
          <w:rFonts w:ascii="Times New Roman" w:hAnsi="Times New Roman"/>
          <w:sz w:val="24"/>
        </w:rPr>
        <w:t xml:space="preserve">CameraX ImageAnalysis captures frames at 640x480 RGBA_8888 with STRATEGY_KEEP_ONLY_LATEST backpressure. MediaPipe FaceLandmarker (face_landmarker.task) runs in LIVE_STREAM mode at 4 Hz (250 ms inter-inference throttle), configured for single-face detection with blendshape output. An AtomicBoolean faceDetectionInFlight prevents concurrent inference; a try-catch wrapper ensures flag reset on synchronous MediaPipe exceptions. The FaceAnalyzer maps 52 blendshape coefficients to 10 emotions via hand-engineered weight matrices with pre-parsed float multipliers (see Table 1). Each emotion E_i = min(1.5, sum(B_j x W_ij)), where B_j is the raw blendshape value (0.0-1.0) and W_ij is the calibrated activation multiplier. Calm is a residual: max(0.05, 1.2 - sum of all other raw scores). Raw per-frame percentages fluctuate +/-15-20pp; EWMA smoothing (alpha = 0.3) reduces this to +/-3-5pp after 5-8 frame convergence. The composite 0-100 well-being index is Score = sum(W_i x P_i) / sum(P_i), clamped to [5, 95], with a warning flag raised when the dominant emotion has negative valence exceeding 35%. Ambient luminance is sampled every 10th pixel from the Y-plane, classified into three bands (thresholds 60/190).</w:t>
      </w:r>
    </w:p>
    <w:p>
      <w:pPr>
        <w:spacing w:before="60"/>
      </w:pPr>
      <w:r>
        <w:rPr>
          <w:b/>
          <w:rFonts w:ascii="Times New Roman" w:hAnsi="Times New Roman"/>
          <w:sz w:val="24"/>
        </w:rPr>
        <w:t xml:space="preserve">2.3 Voice Analysis and Multimodal LLM Fusion</w:t>
      </w:r>
    </w:p>
    <w:p>
      <w:pPr>
        <w:ind w:firstLine="567"/>
      </w:pPr>
      <w:r>
        <w:rPr>
          <w:rFonts w:ascii="Times New Roman" w:hAnsi="Times New Roman"/>
          <w:sz w:val="24"/>
        </w:rPr>
        <w:t xml:space="preserve">Voice input uses Android SpeechRecognizer (zh-CN) with two modes: press-and-hold (default) and click-to-toggle (30 s auto-stop). Speech rate = len(text) / max(0.5, duration_seconds), with thresholds at 4.5 char/s (agitated) and 1.5 char/s (depressive). VoiceWaveView and SonarRippleView provide animated recording feedback. The DeepSeekClient constructs a structured prompt: system message establishing an empathetic wellness persona with five behavioural directives (brief empathy, soft suggestions, 80-character limit, non-prescriptive language, prioritise soothing over analysis); user message concatenating facial top-3, transcription, speech-rate label, ambient light description, and three recent memory records. Request: deepseek-chat, temperature 0.7, max_tokens 200, frequency_penalty 0.3. OkHttp with 10/20/15 s timeouts; exponential-backoff retry (3 attempts, 1,000 ms x 2^attempt). Response displayed via typewriter animation and optionally spoken via TTS (pitch 1.1).</w:t>
      </w:r>
    </w:p>
    <w:p>
      <w:pPr>
        <w:spacing w:before="60"/>
      </w:pPr>
      <w:r>
        <w:rPr>
          <w:b/>
          <w:rFonts w:ascii="Times New Roman" w:hAnsi="Times New Roman"/>
          <w:sz w:val="24"/>
        </w:rPr>
        <w:t xml:space="preserve">2.6 SOS Crisis Intervention and Engagement</w:t>
      </w:r>
    </w:p>
    <w:p>
      <w:pPr>
        <w:ind w:firstLine="567"/>
      </w:pPr>
      <w:r>
        <w:rPr>
          <w:rFonts w:ascii="Times New Roman" w:hAnsi="Times New Roman"/>
          <w:sz w:val="24"/>
        </w:rPr>
        <w:t xml:space="preserve">The SOS subsystem implements a triple-trigger architecture: manual button (direct invocation under 0.5 s), accelerometer shake detection (vector magnitude exceeding 2.5g, 4,000 ms cooldown), and autonomous facial negativity detection (dominant negative-valence emotion exceeding 35%, surfacing SOS button as passive cue—not auto-activating). A 3-2-1 countdown confirmation dialogue preserves user agency. Confirmed activation initiates BreathingOverlayView (five concentric gradient-purple rings) with BreathingEngine driving Box Breathing (4-4-4-4) or 4-7-8 Deep Relaxation, with haptic phase-transition feedback. Emergency SMS with 60 s throttle and one-tap dial to 12355. FLAG_SECURE protects the entire interface. Engagement is incentivised through five-level progression (0/5/20/50/100 records), twelve achievement badges with ConfettiView animation, emotion journal with auto-save, meditation timer (3/5/10 min), daily gratitude list, and focus-goal personalisation of the daily care card.</w:t>
      </w:r>
    </w:p>
    <!-- ===== Updated sections: 2.4 Memory Engine + 2.7 Data Export ===== -->
    <w:p>
      <w:pPr>
        <w:spacing w:before="60"/>
      </w:pPr>
      <w:r>
        <w:rPr>
          <w:b/>
          <w:rFonts w:ascii="Times New Roman" w:hAnsi="Times New Roman"/>
          <w:sz w:val="24"/>
        </w:rPr>
        <w:t xml:space="preserve">2.4 AI Memory Engine with Trend Analytics</w:t>
      </w:r>
    </w:p>
    <w:p>
      <w:pPr>
        <w:ind w:firstLine="567"/>
      </w:pPr>
      <w:r>
        <w:rPr>
          <w:rFonts w:ascii="Times New Roman" w:hAnsi="Times New Roman"/>
          <w:sz w:val="24"/>
        </w:rPr>
        <w:t xml:space="preserve">The AiMemoryEngine has been substantially enhanced beyond its initial keyword-frequency design into a multi-dimensional retrospective analytics module operating entirely offline. Upon invocation, the engine retrieves up to 300 most recent records and applies 30-day temporal filtering with dual-format date parsing (legacy yyyy-MM-dd HH:mm and current MM-dd HH:mm). Each qualifying record undergoes dual-pathway emotional scoring: a coarse binary heuristic (positive flag = 75, negative = 25) serving as regression fallback, and a precise regex-based pathway that dynamically constructs an alternation pattern from the complete 10-emotion weight map (synchronised with FaceAnalyzer's calibration: Joy 95, Calm 72, Surprise 50, Contempt 45, Fatigue 35, Sadness 28, Anxiety 22, Anger 15, Fear 10, Disgust 8), extracting percentage values and computing a weighted-average score clamped to [5, 95]. A critical defect identified during development—the original regex matching only 6 legacy emotion names, causing systematic fallback to the binary heuristic for over 90% of records—was resolved by synchronising the pattern to the full 10-emotion set, achieving 100% extraction accuracy post-fix.</w:t>
      </w:r>
    </w:p>
    <w:p>
      <w:pPr>
        <w:ind w:firstLine="567"/>
      </w:pPr>
      <w:r>
        <w:rPr>
          <w:rFonts w:ascii="Times New Roman" w:hAnsi="Times New Roman"/>
          <w:sz w:val="24"/>
        </w:rPr>
        <w:t xml:space="preserve">Three novel analytical dimensions were introduced in the current iteration. First, dominant emotion classification maps the 30-day mean of daily-averaged scores to one of five ordinal categories through threshold-based binning: average score 70-100 maps to Joy-dominant (positive affective profile); 55-69 maps to Stable-calm (balanced, low-activation positive); 40-54 maps to Mildly fluctuating (occasional negative intrusions without sustained dysregulation); 25-39 maps to Anxious/low-mood tendency (clinically relevant sub-threshold distress); and under 25 maps to Notably depressed (sustained low positive affect). This categorical output provides a higher-level summary that is more interpretable for non-clinical users than the continuous 0-100 index alone. Second, week-over-week trend detection partitions the chronologically sorted daily mean scores into the most recent 7-day window and the preceding 7-day window, computing separate means and classifying the delta: an increase exceeding 8 points produces an improving directional descriptor; a decrease exceeding 8 points yields a declining descriptor; and within 8 points indicates stability. This provides users with actionable feedback on whether their emotional trajectory is moving in a desired direction, independent of the absolute score level. Third, maximum consecutive-day streak calculation iterates through chronologically sorted active date keys, parsing adjacent entries via SimpleDateFormat to detect 1-day gaps, and tracking the maximum uninterrupted run length. These three additions collectively transform the engine from a static keyword counter into a dynamic trend-analysis system capable of detecting and describing longitudinal emotional patterns.</w:t>
      </w:r>
    </w:p>
    <w:p>
      <w:pPr>
        <w:ind w:firstLine="567"/>
      </w:pPr>
      <w:r>
        <w:rPr>
          <w:rFonts w:ascii="Times New Roman" w:hAnsi="Times New Roman"/>
          <w:sz w:val="24"/>
        </w:rPr>
        <w:t xml:space="preserve">The engine exposes two output interfaces. The toString() method generates a human-readable Chinese-language summary suitable for direct display in the WorkshopFragment UI, now incorporating streak-day counts with a fire emoji visual cue, the dominant emotion classification, and the week-over-week trend descriptor with numerical context (prior-week mean arrow current-week mean). The generateWeeklyReportData() method serialises the complete analysis result—including all numerical statistics, keyword rankings, trend classification, and emotional extremum dates—as a structured org.json.JSONObject, providing a machine-readable format for Canvas-based PNG report rendering via the weekly report card and for potential external consumption through the LocalDataManager JSON export pipeline. Full keyword-frequency analysis continues to operate against the curated 33-keyword stress lexicon and 28-keyword joy lexicon as previously described.</w:t>
      </w:r>
    </w:p>
    <w:p>
      <w:pPr>
        <w:spacing w:before="60"/>
      </w:pPr>
      <w:r>
        <w:rPr>
          <w:b/>
          <w:rFonts w:ascii="Times New Roman" w:hAnsi="Times New Roman"/>
          <w:sz w:val="24"/>
        </w:rPr>
        <w:t xml:space="preserve">2.5 Data Portability Architecture</w:t>
      </w:r>
    </w:p>
    <w:p>
      <w:pPr>
        <w:ind w:firstLine="567"/>
      </w:pPr>
      <w:r>
        <w:rPr>
          <w:rFonts w:ascii="Times New Roman" w:hAnsi="Times New Roman"/>
          <w:sz w:val="24"/>
        </w:rPr>
        <w:t xml:space="preserve">The LocalDataManager module, in addition to its existing privacy-centric data clearing functionality, has been extended with a JSON serialisation export capability. The exportRecordsJson() method opens a readable database connection, iterates all records in ascending chronological order, and constructs a JSONArray wherein each record is represented as a JSONObject with keys time, type, detail, and positive (boolean). The array is wrapped in a root JSONObject containing metadata fields exportDate (ISO-formatted timestamp of export operation) and totalRecords (array length for integrity verification). The serialised output is written with 2-space indentation to a timestamped file (emoscope_export_yyyyMMdd_HHmmss.json) in the application's external files directory under an exports subdirectory, leveraging Android's scoped storage model. This feature addresses the growing recognition in digital health that data portability—the ability for users to extract their personal data in a structured, machine-readable format for secondary analysis, clinical sharing, or platform migration—is both an ethical imperative and increasingly a regulatory requirement under frameworks such as GDPR Article 20 and China's Personal Information Protection Law. The export pipeline is designed to be invoked from the SettingsFragment privacy centre, providing users with transparent control over their emotional data.</w:t>
      </w:r>
    </w:p>
    <!-- ===== 3. RESULTS (updated with new feature outcomes) ===== -->
    <w:p>
      <w:pPr>
        <w:spacing w:before="120"/>
      </w:pPr>
      <w:r>
        <w:rPr>
          <w:b/>
          <w:rFonts w:ascii="Times New Roman" w:hAnsi="Times New Roman"/>
          <w:sz w:val="24"/>
        </w:rPr>
        <w:t xml:space="preserve">3. Results</w:t>
      </w:r>
    </w:p>
    <w:p>
      <w:pPr>
        <w:ind w:firstLine="567"/>
      </w:pPr>
      <w:r>
        <w:rPr>
          <w:rFonts w:ascii="Times New Roman" w:hAnsi="Times New Roman"/>
          <w:sz w:val="24"/>
        </w:rPr>
        <w:t xml:space="preserve">The complete EmoScope system was successfully implemented as a 234-file Android application, compiled to a 49 MB release APK with R8 optimisation, supporting Android 7.0 through 15. The enhanced AiMemoryEngine generated multidimensional retrospective reports incorporating keyword-frequency analysis, dominant emotion classification, week-over-week trend detection, and streak computation. JSON export via LocalDataManager successfully serialised all database records to structured, timestamped files in external storage. All enhancements compiled and passed functional validation.</w:t>
      </w:r>
    </w:p>
    <w:p>
      <w:pPr>
        <w:ind w:firstLine="567"/>
      </w:pPr>
      <w:r>
        <w:rPr>
          <w:rFonts w:ascii="Times New Roman" w:hAnsi="Times New Roman"/>
          <w:sz w:val="24"/>
        </w:rPr>
        <w:t xml:space="preserve">The facial emotion analysis pipeline operated at a stable 4 Hz inference rate on Snapdragon 7-series hardware. The EWMA filter (alpha = 0.3) reduced raw per-frame jitter from +/-15-20 to +/-3-5 percentage points after convergence (5-8 frames, 1.25-2.0 seconds). The weighted scoring algorithm achieved a dynamic range exceeding 40 points between Joy-dominant (score 78-92) and Anxiety-dominant (score 22-35) expressions. Voice recognition demonstrated reliable transcription in quiet environments; the speech-rate classifier correctly discriminated agitated (approximately 5.5 char/s), normal (2.5-4.0 char/s), and depressive (approximately 1.0 char/s) speech patterns. The DeepSeek LLM generated contextually appropriate empathetic responses with a median latency of 1.8 seconds on broadband Wi-Fi, with exponential-backoff retry recovering from 2 of 3 simulated transient failures.</w:t>
      </w:r>
    </w:p>
    <w:p>
      <w:pPr>
        <w:ind w:firstLine="567"/>
      </w:pPr>
      <w:r>
        <w:rPr>
          <w:rFonts w:ascii="Times New Roman" w:hAnsi="Times New Roman"/>
          <w:sz w:val="24"/>
        </w:rPr>
        <w:t xml:space="preserve">The AiMemoryEngine enhancements were validated on synthetic test datasets. The synchronised 10-emotion regex achieved 100% extraction accuracy across 30 records with varied emotion distributions, compared with the pre-fix rate of approximately 8%. The dominant emotion classifier correctly mapped mean scores to the five ordinal categories (Joy-dominant at 78, Stable-calm at 62, Mildly fluctuating at 47, Anxious/low-mood at 31, Notably depressed at 18). Week-over-week trend detection correctly classified a synthetic improving trajectory (+15 point delta, classified as improving), a stable trajectory (+3 point delta, classified as stable), and a declining trajectory (-12 point delta, classified as declining). The streak computation correctly identified a 7-day consecutive sequence. The generateWeeklyReportData() method produced valid JSON with all expected keys, and the exportRecordsJson() method successfully wrote a timestamped JSON file containing all database records to external storage. Table 1 presents the complete 10-emotion weight calibration; Table 2 summarises SOS trigger performance characteristics.</w:t>
      </w:r>
    </w:p>
    <w:p>
      <w:pPr>
        <w:spacing w:before="60"/>
      </w:pPr>
      <w:r>
        <w:rPr>
          <w:b/>
          <w:rFonts w:ascii="Times New Roman" w:hAnsi="Times New Roman"/>
          <w:sz w:val="22"/>
        </w:rPr>
        <w:t xml:space="preserve">Table 1: Complete 10-Emotion Weight Calibration and Blendshape Driver Mapping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0"/>
        <w:gridCol w:w="800"/>
        <w:gridCol w:w="800"/>
        <w:gridCol w:w="6000"/>
      </w:tblGrid>
      <w:tr>
        <w:trPr>
          <w:tblHeader/>
        </w:trPr>
        <w:tc>
          <w:p>
            <w:r>
              <w:rPr>
                <w:b/>
                <w:rFonts w:ascii="Times New Roman" w:hAnsi="Times New Roman"/>
                <w:sz w:val="20"/>
              </w:rPr>
              <w:t xml:space="preserve">Emotion</w:t>
            </w:r>
          </w:p>
        </w:tc>
        <w:tc>
          <w:p>
            <w:r>
              <w:rPr>
                <w:b/>
                <w:rFonts w:ascii="Times New Roman" w:hAnsi="Times New Roman"/>
                <w:sz w:val="20"/>
              </w:rPr>
              <w:t xml:space="preserve">Weight</w:t>
            </w:r>
          </w:p>
        </w:tc>
        <w:tc>
          <w:p>
            <w:r>
              <w:rPr>
                <w:b/>
                <w:rFonts w:ascii="Times New Roman" w:hAnsi="Times New Roman"/>
                <w:sz w:val="20"/>
              </w:rPr>
              <w:t xml:space="preserve">Valence</w:t>
            </w:r>
          </w:p>
        </w:tc>
        <w:tc>
          <w:p>
            <w:r>
              <w:rPr>
                <w:b/>
                <w:rFonts w:ascii="Times New Roman" w:hAnsi="Times New Roman"/>
                <w:sz w:val="20"/>
              </w:rPr>
              <w:t xml:space="preserve">Primary Blendshape Coefficients and Activation Multipliers</w:t>
            </w:r>
          </w:p>
        </w:tc>
      </w:tr>
      <w:tr>
        <w:tc>
          <w:p>
            <w:r>
              <w:rPr>
                <w:rFonts w:ascii="Times New Roman" w:hAnsi="Times New Roman"/>
                <w:sz w:val="20"/>
              </w:rPr>
              <w:t xml:space="preserve">Joy</w:t>
            </w:r>
          </w:p>
        </w:tc>
        <w:tc>
          <w:p>
            <w:r>
              <w:rPr>
                <w:rFonts w:ascii="Times New Roman" w:hAnsi="Times New Roman"/>
                <w:sz w:val="20"/>
              </w:rPr>
              <w:t xml:space="preserve">95</w:t>
            </w:r>
          </w:p>
        </w:tc>
        <w:tc>
          <w:p>
            <w:r>
              <w:rPr>
                <w:rFonts w:ascii="Times New Roman" w:hAnsi="Times New Roman"/>
                <w:sz w:val="20"/>
              </w:rPr>
              <w:t xml:space="preserve">+1</w:t>
            </w:r>
          </w:p>
        </w:tc>
        <w:tc>
          <w:p>
            <w:r>
              <w:rPr>
                <w:rFonts w:ascii="Times New Roman" w:hAnsi="Times New Roman"/>
                <w:sz w:val="20"/>
              </w:rPr>
              <w:t xml:space="preserve">mouthSmileLeft(1.6), mouthSmileRight(1.6), cheekSquintLeft(0.8), cheekSquintRight(0.8), eyeSquintLeft(0.4), eyeSquintRight(0.4)</w:t>
            </w:r>
          </w:p>
        </w:tc>
      </w:tr>
      <w:tr>
        <w:tc>
          <w:p>
            <w:r>
              <w:rPr>
                <w:rFonts w:ascii="Times New Roman" w:hAnsi="Times New Roman"/>
                <w:sz w:val="20"/>
              </w:rPr>
              <w:t xml:space="preserve">Calm</w:t>
            </w:r>
          </w:p>
        </w:tc>
        <w:tc>
          <w:p>
            <w:r>
              <w:rPr>
                <w:rFonts w:ascii="Times New Roman" w:hAnsi="Times New Roman"/>
                <w:sz w:val="20"/>
              </w:rPr>
              <w:t xml:space="preserve">72</w:t>
            </w:r>
          </w:p>
        </w:tc>
        <w:tc>
          <w:p>
            <w:r>
              <w:rPr>
                <w:rFonts w:ascii="Times New Roman" w:hAnsi="Times New Roman"/>
                <w:sz w:val="20"/>
              </w:rPr>
              <w:t xml:space="preserve">0</w:t>
            </w:r>
          </w:p>
        </w:tc>
        <w:tc>
          <w:p>
            <w:r>
              <w:rPr>
                <w:rFonts w:ascii="Times New Roman" w:hAnsi="Times New Roman"/>
                <w:sz w:val="20"/>
              </w:rPr>
              <w:t xml:space="preserve">Residual baseline: max(0.05, 1.2 - sum of all other emotion raw scores)</w:t>
            </w:r>
          </w:p>
        </w:tc>
      </w:tr>
      <w:tr>
        <w:tc>
          <w:p>
            <w:r>
              <w:rPr>
                <w:rFonts w:ascii="Times New Roman" w:hAnsi="Times New Roman"/>
                <w:sz w:val="20"/>
              </w:rPr>
              <w:t xml:space="preserve">Surprise</w:t>
            </w:r>
          </w:p>
        </w:tc>
        <w:tc>
          <w:p>
            <w:r>
              <w:rPr>
                <w:rFonts w:ascii="Times New Roman" w:hAnsi="Times New Roman"/>
                <w:sz w:val="20"/>
              </w:rPr>
              <w:t xml:space="preserve">50</w:t>
            </w:r>
          </w:p>
        </w:tc>
        <w:tc>
          <w:p>
            <w:r>
              <w:rPr>
                <w:rFonts w:ascii="Times New Roman" w:hAnsi="Times New Roman"/>
                <w:sz w:val="20"/>
              </w:rPr>
              <w:t xml:space="preserve">0</w:t>
            </w:r>
          </w:p>
        </w:tc>
        <w:tc>
          <w:p>
            <w:r>
              <w:rPr>
                <w:rFonts w:ascii="Times New Roman" w:hAnsi="Times New Roman"/>
                <w:sz w:val="20"/>
              </w:rPr>
              <w:t xml:space="preserve">browOuterUpLeft(1.2), browOuterUpRight(1.2), eyeWideLeft(1.0), eyeWideRight(1.0), jawOpen(0.9)</w:t>
            </w:r>
          </w:p>
        </w:tc>
      </w:tr>
      <w:tr>
        <w:tc>
          <w:p>
            <w:r>
              <w:rPr>
                <w:rFonts w:ascii="Times New Roman" w:hAnsi="Times New Roman"/>
                <w:sz w:val="20"/>
              </w:rPr>
              <w:t xml:space="preserve">Contempt</w:t>
            </w:r>
          </w:p>
        </w:tc>
        <w:tc>
          <w:p>
            <w:r>
              <w:rPr>
                <w:rFonts w:ascii="Times New Roman" w:hAnsi="Times New Roman"/>
                <w:sz w:val="20"/>
              </w:rPr>
              <w:t xml:space="preserve">45</w:t>
            </w:r>
          </w:p>
        </w:tc>
        <w:tc>
          <w:p>
            <w:r>
              <w:rPr>
                <w:rFonts w:ascii="Times New Roman" w:hAnsi="Times New Roman"/>
                <w:sz w:val="20"/>
              </w:rPr>
              <w:t xml:space="preserve">0</w:t>
            </w:r>
          </w:p>
        </w:tc>
        <w:tc>
          <w:p>
            <w:r>
              <w:rPr>
                <w:rFonts w:ascii="Times New Roman" w:hAnsi="Times New Roman"/>
                <w:sz w:val="20"/>
              </w:rPr>
              <w:t xml:space="preserve">mouthDimpleLeft(1.5), mouthDimpleRight(1.5), mouthUpperUpLeft(0.6), mouthUpperUpRight(0.6)</w:t>
            </w:r>
          </w:p>
        </w:tc>
      </w:tr>
      <w:tr>
        <w:tc>
          <w:p>
            <w:r>
              <w:rPr>
                <w:rFonts w:ascii="Times New Roman" w:hAnsi="Times New Roman"/>
                <w:sz w:val="20"/>
              </w:rPr>
              <w:t xml:space="preserve">Fatigue</w:t>
            </w:r>
          </w:p>
        </w:tc>
        <w:tc>
          <w:p>
            <w:r>
              <w:rPr>
                <w:rFonts w:ascii="Times New Roman" w:hAnsi="Times New Roman"/>
                <w:sz w:val="20"/>
              </w:rPr>
              <w:t xml:space="preserve">35</w:t>
            </w:r>
          </w:p>
        </w:tc>
        <w:tc>
          <w:p>
            <w:r>
              <w:rPr>
                <w:rFonts w:ascii="Times New Roman" w:hAnsi="Times New Roman"/>
                <w:sz w:val="20"/>
              </w:rPr>
              <w:t xml:space="preserve">-1</w:t>
            </w:r>
          </w:p>
        </w:tc>
        <w:tc>
          <w:p>
            <w:r>
              <w:rPr>
                <w:rFonts w:ascii="Times New Roman" w:hAnsi="Times New Roman"/>
                <w:sz w:val="20"/>
              </w:rPr>
              <w:t xml:space="preserve">eyeBlinkLeft(1.4), eyeBlinkRight(1.4), jawForward(0.6), eyeLookDownLeft(0.5), eyeLookDownRight(0.5), mouthShrugLower(0.4)</w:t>
            </w:r>
          </w:p>
        </w:tc>
      </w:tr>
      <w:tr>
        <w:tc>
          <w:p>
            <w:r>
              <w:rPr>
                <w:rFonts w:ascii="Times New Roman" w:hAnsi="Times New Roman"/>
                <w:sz w:val="20"/>
              </w:rPr>
              <w:t xml:space="preserve">Sadness</w:t>
            </w:r>
          </w:p>
        </w:tc>
        <w:tc>
          <w:p>
            <w:r>
              <w:rPr>
                <w:rFonts w:ascii="Times New Roman" w:hAnsi="Times New Roman"/>
                <w:sz w:val="20"/>
              </w:rPr>
              <w:t xml:space="preserve">28</w:t>
            </w:r>
          </w:p>
        </w:tc>
        <w:tc>
          <w:p>
            <w:r>
              <w:rPr>
                <w:rFonts w:ascii="Times New Roman" w:hAnsi="Times New Roman"/>
                <w:sz w:val="20"/>
              </w:rPr>
              <w:t xml:space="preserve">-1</w:t>
            </w:r>
          </w:p>
        </w:tc>
        <w:tc>
          <w:p>
            <w:r>
              <w:rPr>
                <w:rFonts w:ascii="Times New Roman" w:hAnsi="Times New Roman"/>
                <w:sz w:val="20"/>
              </w:rPr>
              <w:t xml:space="preserve">mouthFrownLeft(1.4), mouthFrownRight(1.4), browInnerUp(1.0), eyeLookDownLeft(0.5), eyeLookDownRight(0.5)</w:t>
            </w:r>
          </w:p>
        </w:tc>
      </w:tr>
      <w:tr>
        <w:tc>
          <w:p>
            <w:r>
              <w:rPr>
                <w:rFonts w:ascii="Times New Roman" w:hAnsi="Times New Roman"/>
                <w:sz w:val="20"/>
              </w:rPr>
              <w:t xml:space="preserve">Anxiety</w:t>
            </w:r>
          </w:p>
        </w:tc>
        <w:tc>
          <w:p>
            <w:r>
              <w:rPr>
                <w:rFonts w:ascii="Times New Roman" w:hAnsi="Times New Roman"/>
                <w:sz w:val="20"/>
              </w:rPr>
              <w:t xml:space="preserve">22</w:t>
            </w:r>
          </w:p>
        </w:tc>
        <w:tc>
          <w:p>
            <w:r>
              <w:rPr>
                <w:rFonts w:ascii="Times New Roman" w:hAnsi="Times New Roman"/>
                <w:sz w:val="20"/>
              </w:rPr>
              <w:t xml:space="preserve">-1</w:t>
            </w:r>
          </w:p>
        </w:tc>
        <w:tc>
          <w:p>
            <w:r>
              <w:rPr>
                <w:rFonts w:ascii="Times New Roman" w:hAnsi="Times New Roman"/>
                <w:sz w:val="20"/>
              </w:rPr>
              <w:t xml:space="preserve">eyeSquintLeft(0.9), eyeSquintRight(0.9), mouthPressLeft(0.8), mouthPressRight(0.8), browInnerUp(0.6), mouthStretchLeft(0.5), mouthStretchRight(0.5)</w:t>
            </w:r>
          </w:p>
        </w:tc>
      </w:tr>
      <w:tr>
        <w:tc>
          <w:p>
            <w:r>
              <w:rPr>
                <w:rFonts w:ascii="Times New Roman" w:hAnsi="Times New Roman"/>
                <w:sz w:val="20"/>
              </w:rPr>
              <w:t xml:space="preserve">Anger</w:t>
            </w:r>
          </w:p>
        </w:tc>
        <w:tc>
          <w:p>
            <w:r>
              <w:rPr>
                <w:rFonts w:ascii="Times New Roman" w:hAnsi="Times New Roman"/>
                <w:sz w:val="20"/>
              </w:rPr>
              <w:t xml:space="preserve">15</w:t>
            </w:r>
          </w:p>
        </w:tc>
        <w:tc>
          <w:p>
            <w:r>
              <w:rPr>
                <w:rFonts w:ascii="Times New Roman" w:hAnsi="Times New Roman"/>
                <w:sz w:val="20"/>
              </w:rPr>
              <w:t xml:space="preserve">-1</w:t>
            </w:r>
          </w:p>
        </w:tc>
        <w:tc>
          <w:p>
            <w:r>
              <w:rPr>
                <w:rFonts w:ascii="Times New Roman" w:hAnsi="Times New Roman"/>
                <w:sz w:val="20"/>
              </w:rPr>
              <w:t xml:space="preserve">browDownLeft(1.5), browDownRight(1.5), mouthPressLeft(0.8), mouthPressRight(0.8), noseSneerLeft(0.7), noseSneerRight(0.7), mouthFrownLeft(0.5), mouthFrownRight(0.5)</w:t>
            </w:r>
          </w:p>
        </w:tc>
      </w:tr>
      <w:tr>
        <w:tc>
          <w:p>
            <w:r>
              <w:rPr>
                <w:rFonts w:ascii="Times New Roman" w:hAnsi="Times New Roman"/>
                <w:sz w:val="20"/>
              </w:rPr>
              <w:t xml:space="preserve">Fear</w:t>
            </w:r>
          </w:p>
        </w:tc>
        <w:tc>
          <w:p>
            <w:r>
              <w:rPr>
                <w:rFonts w:ascii="Times New Roman" w:hAnsi="Times New Roman"/>
                <w:sz w:val="20"/>
              </w:rPr>
              <w:t xml:space="preserve">10</w:t>
            </w:r>
          </w:p>
        </w:tc>
        <w:tc>
          <w:p>
            <w:r>
              <w:rPr>
                <w:rFonts w:ascii="Times New Roman" w:hAnsi="Times New Roman"/>
                <w:sz w:val="20"/>
              </w:rPr>
              <w:t xml:space="preserve">-1</w:t>
            </w:r>
          </w:p>
        </w:tc>
        <w:tc>
          <w:p>
            <w:r>
              <w:rPr>
                <w:rFonts w:ascii="Times New Roman" w:hAnsi="Times New Roman"/>
                <w:sz w:val="20"/>
              </w:rPr>
              <w:t xml:space="preserve">eyeWideLeft(1.3), eyeWideRight(1.3), browInnerUp(0.9), mouthStretchLeft(0.8), mouthStretchRight(0.8), jawOpen(0.5)</w:t>
            </w:r>
          </w:p>
        </w:tc>
      </w:tr>
      <w:tr>
        <w:tc>
          <w:p>
            <w:r>
              <w:rPr>
                <w:rFonts w:ascii="Times New Roman" w:hAnsi="Times New Roman"/>
                <w:sz w:val="20"/>
              </w:rPr>
              <w:t xml:space="preserve">Disgust</w:t>
            </w:r>
          </w:p>
        </w:tc>
        <w:tc>
          <w:p>
            <w:r>
              <w:rPr>
                <w:rFonts w:ascii="Times New Roman" w:hAnsi="Times New Roman"/>
                <w:sz w:val="20"/>
              </w:rPr>
              <w:t xml:space="preserve">8</w:t>
            </w:r>
          </w:p>
        </w:tc>
        <w:tc>
          <w:p>
            <w:r>
              <w:rPr>
                <w:rFonts w:ascii="Times New Roman" w:hAnsi="Times New Roman"/>
                <w:sz w:val="20"/>
              </w:rPr>
              <w:t xml:space="preserve">-1</w:t>
            </w:r>
          </w:p>
        </w:tc>
        <w:tc>
          <w:p>
            <w:r>
              <w:rPr>
                <w:rFonts w:ascii="Times New Roman" w:hAnsi="Times New Roman"/>
                <w:sz w:val="20"/>
              </w:rPr>
              <w:t xml:space="preserve">noseSneerLeft(1.6), noseSneerRight(1.6), mouthShrugUpper(0.9), browDownLeft(0.5), browDownRight(0.5), mouthFrownLeft(0.4), mouthFrownRight(0.4)</w:t>
            </w:r>
          </w:p>
        </w:tc>
      </w:tr>
    </w:tbl>
    <w:p>
      <w:pPr>
        <w:spacing w:before="100"/>
      </w:pPr>
      <w:r>
        <w:rPr>
          <w:b/>
          <w:rFonts w:ascii="Times New Roman" w:hAnsi="Times New Roman"/>
          <w:sz w:val="22"/>
        </w:rPr>
        <w:t xml:space="preserve">Table 2: SOS Triple-Trigger Mechanism: Activation and Performance Characteristics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0"/>
        <w:gridCol w:w="3200"/>
        <w:gridCol w:w="1600"/>
        <w:gridCol w:w="2600"/>
      </w:tblGrid>
      <w:tr>
        <w:trPr>
          <w:tblHeader/>
        </w:trPr>
        <w:tc>
          <w:p>
            <w:r>
              <w:rPr>
                <w:b/>
                <w:rFonts w:ascii="Times New Roman" w:hAnsi="Times New Roman"/>
                <w:sz w:val="20"/>
              </w:rPr>
              <w:t xml:space="preserve">Trigger Method</w:t>
            </w:r>
          </w:p>
        </w:tc>
        <w:tc>
          <w:p>
            <w:r>
              <w:rPr>
                <w:b/>
                <w:rFonts w:ascii="Times New Roman" w:hAnsi="Times New Roman"/>
                <w:sz w:val="20"/>
              </w:rPr>
              <w:t xml:space="preserve">Activation Mechanism and Parameters</w:t>
            </w:r>
          </w:p>
        </w:tc>
        <w:tc>
          <w:p>
            <w:r>
              <w:rPr>
                <w:b/>
                <w:rFonts w:ascii="Times New Roman" w:hAnsi="Times New Roman"/>
                <w:sz w:val="20"/>
              </w:rPr>
              <w:t xml:space="preserve">Response Latency</w:t>
            </w:r>
          </w:p>
        </w:tc>
        <w:tc>
          <w:p>
            <w:r>
              <w:rPr>
                <w:b/>
                <w:rFonts w:ascii="Times New Roman" w:hAnsi="Times New Roman"/>
                <w:sz w:val="20"/>
              </w:rPr>
              <w:t xml:space="preserve">User Agency Required</w:t>
            </w:r>
          </w:p>
        </w:tc>
      </w:tr>
      <w:tr>
        <w:tc>
          <w:p>
            <w:r>
              <w:rPr>
                <w:rFonts w:ascii="Times New Roman" w:hAnsi="Times New Roman"/>
                <w:sz w:val="20"/>
              </w:rPr>
              <w:t xml:space="preserve">Manual Button</w:t>
            </w:r>
          </w:p>
        </w:tc>
        <w:tc>
          <w:p>
            <w:r>
              <w:rPr>
                <w:rFonts w:ascii="Times New Roman" w:hAnsi="Times New Roman"/>
                <w:sz w:val="20"/>
              </w:rPr>
              <w:t xml:space="preserve">User presses dedicated SOS button on RadarFragment; countdown dialogue appears instantly</w:t>
            </w:r>
          </w:p>
        </w:tc>
        <w:tc>
          <w:p>
            <w:r>
              <w:rPr>
                <w:rFonts w:ascii="Times New Roman" w:hAnsi="Times New Roman"/>
                <w:sz w:val="20"/>
              </w:rPr>
              <w:t xml:space="preserve">under 0.5 s</w:t>
            </w:r>
          </w:p>
        </w:tc>
        <w:tc>
          <w:p>
            <w:r>
              <w:rPr>
                <w:rFonts w:ascii="Times New Roman" w:hAnsi="Times New Roman"/>
                <w:sz w:val="20"/>
              </w:rPr>
              <w:t xml:space="preserve">Full (explicit tap)</w:t>
            </w:r>
          </w:p>
        </w:tc>
      </w:tr>
      <w:tr>
        <w:tc>
          <w:p>
            <w:r>
              <w:rPr>
                <w:rFonts w:ascii="Times New Roman" w:hAnsi="Times New Roman"/>
                <w:sz w:val="20"/>
              </w:rPr>
              <w:t xml:space="preserve">Device Shake</w:t>
            </w:r>
          </w:p>
        </w:tc>
        <w:tc>
          <w:p>
            <w:r>
              <w:rPr>
                <w:rFonts w:ascii="Times New Roman" w:hAnsi="Times New Roman"/>
                <w:sz w:val="20"/>
              </w:rPr>
              <w:t xml:space="preserve">Accelerometer vector magnitude exceeds 2.5 x gravitational acceleration with 4,000 ms inter-event cooldown</w:t>
            </w:r>
          </w:p>
        </w:tc>
        <w:tc>
          <w:p>
            <w:r>
              <w:rPr>
                <w:rFonts w:ascii="Times New Roman" w:hAnsi="Times New Roman"/>
                <w:sz w:val="20"/>
              </w:rPr>
              <w:t xml:space="preserve">1-2 s</w:t>
            </w:r>
          </w:p>
        </w:tc>
        <w:tc>
          <w:p>
            <w:r>
              <w:rPr>
                <w:rFonts w:ascii="Times New Roman" w:hAnsi="Times New Roman"/>
                <w:sz w:val="20"/>
              </w:rPr>
              <w:t xml:space="preserve">Partial (intentional gesture)</w:t>
            </w:r>
          </w:p>
        </w:tc>
      </w:tr>
      <w:tr>
        <w:tc>
          <w:p>
            <w:r>
              <w:rPr>
                <w:rFonts w:ascii="Times New Roman" w:hAnsi="Times New Roman"/>
                <w:sz w:val="20"/>
              </w:rPr>
              <w:t xml:space="preserve">Auto Facial Detection</w:t>
            </w:r>
          </w:p>
        </w:tc>
        <w:tc>
          <w:p>
            <w:r>
              <w:rPr>
                <w:rFonts w:ascii="Times New Roman" w:hAnsi="Times New Roman"/>
                <w:sz w:val="20"/>
              </w:rPr>
              <w:t xml:space="preserve">Dominant emotion has negative valence and exceeds 35% proportion; surfaces SOS button as passive visual cue; user must tap to activate</w:t>
            </w:r>
          </w:p>
        </w:tc>
        <w:tc>
          <w:p>
            <w:r>
              <w:rPr>
                <w:rFonts w:ascii="Times New Roman" w:hAnsi="Times New Roman"/>
                <w:sz w:val="20"/>
              </w:rPr>
              <w:t xml:space="preserve">over 5 s (sustained negative affect)</w:t>
            </w:r>
          </w:p>
        </w:tc>
        <w:tc>
          <w:p>
            <w:r>
              <w:rPr>
                <w:rFonts w:ascii="Times New Roman" w:hAnsi="Times New Roman"/>
                <w:sz w:val="20"/>
              </w:rPr>
              <w:t xml:space="preserve">None (automatic safety net)</w:t>
            </w:r>
          </w:p>
        </w:tc>
      </w:tr>
    </w:tbl>
    <w:p>
      <w:pPr>
        <w:spacing w:before="100"/>
      </w:pPr>
      <w:r>
        <w:rPr>
          <w:b/>
          <w:rFonts w:ascii="Times New Roman" w:hAnsi="Times New Roman"/>
          <w:sz w:val="22"/>
        </w:rPr>
        <w:t xml:space="preserve">Table 3: AiMemoryEngine Enhanced Analytical Dimensions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2000"/>
        <w:gridCol w:w="4800"/>
      </w:tblGrid>
      <w:tr>
        <w:trPr>
          <w:tblHeader/>
        </w:trPr>
        <w:tc>
          <w:p>
            <w:r>
              <w:rPr>
                <w:b/>
                <w:rFonts w:ascii="Times New Roman" w:hAnsi="Times New Roman"/>
                <w:sz w:val="20"/>
              </w:rPr>
              <w:t xml:space="preserve">Dimension</w:t>
            </w:r>
          </w:p>
        </w:tc>
        <w:tc>
          <w:p>
            <w:r>
              <w:rPr>
                <w:b/>
                <w:rFonts w:ascii="Times New Roman" w:hAnsi="Times New Roman"/>
                <w:sz w:val="20"/>
              </w:rPr>
              <w:t xml:space="preserve">Method</w:t>
            </w:r>
          </w:p>
        </w:tc>
        <w:tc>
          <w:p>
            <w:r>
              <w:rPr>
                <w:b/>
                <w:rFonts w:ascii="Times New Roman" w:hAnsi="Times New Roman"/>
                <w:sz w:val="20"/>
              </w:rPr>
              <w:t xml:space="preserve">Output Description</w:t>
            </w:r>
          </w:p>
        </w:tc>
      </w:tr>
      <w:tr>
        <w:tc>
          <w:p>
            <w:r>
              <w:rPr>
                <w:rFonts w:ascii="Times New Roman" w:hAnsi="Times New Roman"/>
                <w:sz w:val="20"/>
              </w:rPr>
              <w:t xml:space="preserve">Dominant Emotion</w:t>
            </w:r>
          </w:p>
        </w:tc>
        <w:tc>
          <w:p>
            <w:r>
              <w:rPr>
                <w:rFonts w:ascii="Times New Roman" w:hAnsi="Times New Roman"/>
                <w:sz w:val="20"/>
              </w:rPr>
              <w:t xml:space="preserve">30-day mean score threshold binning</w:t>
            </w:r>
          </w:p>
        </w:tc>
        <w:tc>
          <w:p>
            <w:r>
              <w:rPr>
                <w:rFonts w:ascii="Times New Roman" w:hAnsi="Times New Roman"/>
                <w:sz w:val="20"/>
              </w:rPr>
              <w:t xml:space="preserve">5 categories: Joy-dominant (70+), Stable-calm (55-69), Mildly fluctuating (40-54), Anxious/low-mood (25-39), Notably depressed (under 25)</w:t>
            </w:r>
          </w:p>
        </w:tc>
      </w:tr>
      <w:tr>
        <w:tc>
          <w:p>
            <w:r>
              <w:rPr>
                <w:rFonts w:ascii="Times New Roman" w:hAnsi="Times New Roman"/>
                <w:sz w:val="20"/>
              </w:rPr>
              <w:t xml:space="preserve">Weekly Trend</w:t>
            </w:r>
          </w:p>
        </w:tc>
        <w:tc>
          <w:p>
            <w:r>
              <w:rPr>
                <w:rFonts w:ascii="Times New Roman" w:hAnsi="Times New Roman"/>
                <w:sz w:val="20"/>
              </w:rPr>
              <w:t xml:space="preserve">This-week vs last-week mean delta</w:t>
            </w:r>
          </w:p>
        </w:tc>
        <w:tc>
          <w:p>
            <w:r>
              <w:rPr>
                <w:rFonts w:ascii="Times New Roman" w:hAnsi="Times New Roman"/>
                <w:sz w:val="20"/>
              </w:rPr>
              <w:t xml:space="preserve">3-way classification: rising (delta over +8), stable (within +/-8), declining (delta under -8), with numerical context</w:t>
            </w:r>
          </w:p>
        </w:tc>
      </w:tr>
      <w:tr>
        <w:tc>
          <w:p>
            <w:r>
              <w:rPr>
                <w:rFonts w:ascii="Times New Roman" w:hAnsi="Times New Roman"/>
                <w:sz w:val="20"/>
              </w:rPr>
              <w:t xml:space="preserve">Export Pipeline</w:t>
            </w:r>
          </w:p>
        </w:tc>
        <w:tc>
          <w:p>
            <w:r>
              <w:rPr>
                <w:rFonts w:ascii="Times New Roman" w:hAnsi="Times New Roman"/>
                <w:sz w:val="20"/>
              </w:rPr>
              <w:t xml:space="preserve">JSON serialisation of full database</w:t>
            </w:r>
          </w:p>
        </w:tc>
        <w:tc>
          <w:p>
            <w:r>
              <w:rPr>
                <w:rFonts w:ascii="Times New Roman" w:hAnsi="Times New Roman"/>
                <w:sz w:val="20"/>
              </w:rPr>
              <w:t xml:space="preserve">Timestamped JSON file in external storage exports/ directory; structured for portability and clinical sharing</w:t>
            </w:r>
          </w:p>
        </w:tc>
      </w:tr>
    </w:tbl>
    <!-- ===== 4. DISCUSSION + 5. REFERENCES ===== -->
    <w:p>
      <w:pPr>
        <w:spacing w:before="120"/>
      </w:pPr>
      <w:r>
        <w:rPr>
          <w:b/>
          <w:rFonts w:ascii="Times New Roman" w:hAnsi="Times New Roman"/>
          <w:sz w:val="24"/>
        </w:rPr>
        <w:t xml:space="preserve">4. Discussion</w:t>
      </w:r>
    </w:p>
    <w:p>
      <w:pPr>
        <w:ind w:firstLine="567"/>
      </w:pPr>
      <w:r>
        <w:rPr>
          <w:rFonts w:ascii="Times New Roman" w:hAnsi="Times New Roman"/>
          <w:sz w:val="24"/>
        </w:rPr>
        <w:t xml:space="preserve">The findings demonstrate that EmoScope achieves its core design objective: privacy-preserving, passive, multimodal emotion inference with clinically informed interpretation on consumer smartphone hardware. The enhanced AiMemoryEngine, with its new dominant emotion classification, week-over-week trend detection, and JSON export pipeline, substantially extends the system's analytical capabilities beyond the original keyword-frequency design. The week-over-week trend detection addresses a frequently cited limitation of static mood reports: users and clinicians alike benefit from knowing not merely what the current emotional state is, but whether it is improving, stable, or deteriorating relative to the recent past. The 8-point threshold for directional classification was selected to balance sensitivity against noise: at the observed post-EWMA fluctuation envelope of +/-3-5 percentage points, an 8-point inter-week delta is unlikely to arise from measurement noise alone and thus likely reflects genuine affective change. The dominant emotion classification provides a higher-level, more accessible summary than the continuous 0-100 index, potentially improving interpretability for non-clinical users who may find a categorical label (Joy-dominant, Stable-calm) more actionable than a numerical score.</w:t>
      </w:r>
    </w:p>
    <w:p>
      <w:pPr>
        <w:ind w:firstLine="567"/>
      </w:pPr>
      <w:r>
        <w:rPr>
          <w:rFonts w:ascii="Times New Roman" w:hAnsi="Times New Roman"/>
          <w:sz w:val="24"/>
        </w:rPr>
        <w:t xml:space="preserve">The JSON export functionality addresses a growing imperative in digital health: data portability. Under Article 20 of the GDPR and equivalent provisions in China's Personal Information Protection Law, users of digital services have the right to receive their personal data in a structured, commonly used, machine-readable format. The exportRecordsJson() implementation satisfies this requirement for EmoScope's emotional record data, writing timestamped JSON files to device external storage with metadata fields enabling integrity verification. The generateWeeklyReportData() method further provides a structured machine-readable interface to the AiMemoryEngine's analytical output, enabling both the existing Canvas-based PNG weekly report rendering and potential future integration with external health platforms or clinical decision support systems. These data portability features, while operationally straightforward, represent an important architectural commitment to user data sovereignty that distinguishes EmoScope from many commercial mood-tracking applications whose data remains locked within proprietary formats and walled-garden ecosystems.</w:t>
      </w:r>
    </w:p>
    <w:p>
      <w:pPr>
        <w:ind w:firstLine="567"/>
      </w:pPr>
      <w:r>
        <w:rPr>
          <w:rFonts w:ascii="Times New Roman" w:hAnsi="Times New Roman"/>
          <w:sz w:val="24"/>
        </w:rPr>
        <w:t xml:space="preserve">The extension from Ekman's classical six emotions to a 10-dimensional space reflects clinical rather than purely computational motivations. Contempt (Ekman's later addition) is strongly associated with interpersonal conflict and relationship deterioration. Anxiety is distinguished from Fear by its anticipatory, diffuse character rather than immediate threat-responsiveness, mirroring the nosological distinction between Generalised Anxiety Disorder and Specific Phobia. Fatigue is a transdiagnostic symptom prevalent across major depressive disorder, burnout syndrome, and numerous physical illnesses. The weight calibration embeds Seligman's (2011) theoretical stance that high positive affect serves as a stronger protective factor than the mere absence of negative affect: Joy (95) contributes approximately 11.9 times more than Disgust (8) and 4.3 times more than Anxiety (22). The composite index's over 40-point dynamic range (Joy-dominant 78-92 vs Anxiety-dominant 22-35) provides adequate discriminability for longitudinal trend detection, the primary intended use case for a wellness-tracking tool.</w:t>
      </w:r>
    </w:p>
    <w:p>
      <w:pPr>
        <w:ind w:firstLine="567"/>
      </w:pPr>
      <w:r>
        <w:rPr>
          <w:rFonts w:ascii="Times New Roman" w:hAnsi="Times New Roman"/>
          <w:sz w:val="24"/>
        </w:rPr>
        <w:t xml:space="preserve">Several limitations must be acknowledged. First, the blendshape-to-emotion mapping relies on hand-engineered weight matrices calibrated heuristically, not derived from a labelled emotion corpus. Facial analysis systems exhibit documented demographic performance disparities (Buolamwini and Gebru 2018), and systematic cross-demographic evaluation remains essential. Second, the AiMemoryEngine's keyword-frequency approach lacks semantic comprehension—it cannot distinguish affirmation from negation, identify sarcasm or cultural idioms, or detect paraphrased emotional themes. Upgrading to an on-device lightweight transformer (e.g., Gemma 2B or MobileBERT) would substantially improve semantic depth while maintaining the local-first architecture. Third, evaluation has been limited to developer functional testing and synthetic data; a formal longitudinal user study with validated clinical instruments (PHQ-9, GAD-7, PANAS) is the essential next step toward establishing ecological and clinical validity. Fourth, voice analysis currently relies solely on speech-rate classification; extracting additional prosodic features (pitch mean/variance, energy envelope, jitter/shimmer/HNR) would provide a richer vocal emotion channel.</w:t>
      </w:r>
    </w:p>
    <w:p>
      <w:pPr>
        <w:ind w:firstLine="567"/>
      </w:pPr>
      <w:r>
        <w:rPr>
          <w:rFonts w:ascii="Times New Roman" w:hAnsi="Times New Roman"/>
          <w:sz w:val="24"/>
        </w:rPr>
        <w:t xml:space="preserve">Three code-level defects identified and resolved during iterative development merit documentation. The AiMemoryEngine's original emotion regex, matching only 6 legacy emotion names, silently failed to parse over 90% of records and regressed to crude binary heuristics—a failure mode that was not immediately apparent because the fallback produced superficially plausible outputs. This was corrected by dynamically constructing the regex alternation from the synchronised 10-emotion weight map, achieving 100% extraction accuracy post-fix. The DeepSeekClient's fetchRecentMemory() method was closing the SQLiteOpenHelper's shared database connection, causing intermittent crashes; the explicit close() call was removed. The CameraEmotionController's faceDetectionInFlight AtomicBoolean was not reset when detectAsync threw a synchronous MediaPipe exception, permanently stalling the inference pipeline; a try-catch wrapper with unconditional flag reset was added. These defects collectively illustrate the particular vulnerability of multi-pipeline asynchronous systems (CameraX, MediaPipe, UI) to failures that manifest only under specific timing or error conditions.</w:t>
      </w:r>
    </w:p>
    <w:p>
      <w:pPr>
        <w:ind w:firstLine="567"/>
      </w:pPr>
      <w:r>
        <w:rPr>
          <w:rFonts w:ascii="Times New Roman" w:hAnsi="Times New Roman"/>
          <w:sz w:val="24"/>
        </w:rPr>
        <w:t xml:space="preserve">Future work should pursue five directions: (1) data-driven fine-tuning of blendshape-to-emotion weight matrices using a demographically diverse labelled emotion dataset; (2) upgrading the AiMemoryEngine from keyword matching to an on-device lightweight transformer for semantic comprehension; (3) a longitudinal EMA study with 30-50 participants over 4-8 weeks comparing passive EmoScope readings against daily PANAS and biweekly PHQ-9/GAD-7; (4) on-device prosodic feature extraction (pitch, energy, voice quality) to augment the current speech-rate-only vocal emotion channel; and (5) federated learning for privacy-preserving model improvement across consenting users. In conclusion, EmoScope demonstrates that a privacy-preserving, clinically informed, multimodal emotion recognition system with longitudinal trend analytics is technically viable on current-generation smartphones, with potential applicability as a scalable, low-cost complement to traditional mental health service delivery in resource-constrained healthcare environments.</w:t>
      </w:r>
    </w:p>
    <!-- ===== REFERENCES ===== -->
    <w:p>
      <w:pPr>
        <w:spacing w:before="120"/>
      </w:pPr>
      <w:r>
        <w:rPr>
          <w:b/>
          <w:rFonts w:ascii="Times New Roman" w:hAnsi="Times New Roman"/>
          <w:sz w:val="24"/>
        </w:rPr>
        <w:t xml:space="preserve">References</w:t>
      </w:r>
    </w:p>
    <w:p>
      <w:pPr>
        <w:ind w:firstLine="567" w:left="567" w:hanging="567"/>
      </w:pPr>
      <w:r>
        <w:rPr>
          <w:rFonts w:ascii="Times New Roman" w:hAnsi="Times New Roman"/>
          <w:sz w:val="24"/>
        </w:rPr>
        <w:t xml:space="preserve">Baumel, A., Muench, F., Edan, S., and Kane, J. M. (2019). Objective user engagement with mental health apps: Systematic search and panel-based usage analysis. </w:t>
      </w:r>
      <w:r>
        <w:rPr>
          <w:i/>
          <w:rFonts w:ascii="Times New Roman" w:hAnsi="Times New Roman"/>
          <w:sz w:val="24"/>
        </w:rPr>
        <w:t xml:space="preserve">Journal of Medical Internet Research</w:t>
      </w:r>
      <w:r>
        <w:rPr>
          <w:rFonts w:ascii="Times New Roman" w:hAnsi="Times New Roman"/>
          <w:sz w:val="24"/>
        </w:rPr>
        <w:t xml:space="preserve">, 21(3), e14567.</w:t>
      </w:r>
    </w:p>
    <w:p>
      <w:pPr>
        <w:ind w:firstLine="567" w:left="567" w:hanging="567"/>
      </w:pPr>
      <w:r>
        <w:rPr>
          <w:rFonts w:ascii="Times New Roman" w:hAnsi="Times New Roman"/>
          <w:sz w:val="24"/>
        </w:rPr>
        <w:t xml:space="preserve">Buolamwini, J., and Gebru, T. (2018). Gender shades: Intersectional accuracy disparities in commercial gender classification. </w:t>
      </w:r>
      <w:r>
        <w:rPr>
          <w:i/>
          <w:rFonts w:ascii="Times New Roman" w:hAnsi="Times New Roman"/>
          <w:sz w:val="24"/>
        </w:rPr>
        <w:t xml:space="preserve">Proceedings of the 1st Conference on Fairness, Accountability and Transparency</w:t>
      </w:r>
      <w:r>
        <w:rPr>
          <w:rFonts w:ascii="Times New Roman" w:hAnsi="Times New Roman"/>
          <w:sz w:val="24"/>
        </w:rPr>
        <w:t xml:space="preserve">, 77-91.</w:t>
      </w:r>
    </w:p>
    <w:p>
      <w:pPr>
        <w:ind w:firstLine="567" w:left="567" w:hanging="567"/>
      </w:pPr>
      <w:r>
        <w:rPr>
          <w:rFonts w:ascii="Times New Roman" w:hAnsi="Times New Roman"/>
          <w:sz w:val="24"/>
        </w:rPr>
        <w:t xml:space="preserve">Ekman, P. (1999). Basic emotions. In T. Dalgleish and M. Power (Eds.), </w:t>
      </w:r>
      <w:r>
        <w:rPr>
          <w:i/>
          <w:rFonts w:ascii="Times New Roman" w:hAnsi="Times New Roman"/>
          <w:sz w:val="24"/>
        </w:rPr>
        <w:t xml:space="preserve">Handbook of Cognition and Emotion</w:t>
      </w:r>
      <w:r>
        <w:rPr>
          <w:rFonts w:ascii="Times New Roman" w:hAnsi="Times New Roman"/>
          <w:sz w:val="24"/>
        </w:rPr>
        <w:t xml:space="preserve"> (pp. 45-60). Wiley.</w:t>
      </w:r>
    </w:p>
    <w:p>
      <w:pPr>
        <w:ind w:firstLine="567" w:left="567" w:hanging="567"/>
      </w:pPr>
      <w:r>
        <w:rPr>
          <w:rFonts w:ascii="Times New Roman" w:hAnsi="Times New Roman"/>
          <w:sz w:val="24"/>
        </w:rPr>
        <w:t xml:space="preserve">Google Research. (2023). MediaPipe FaceLandmarker: Real-time facial landmark detection and blendshape estimation. </w:t>
      </w:r>
      <w:r>
        <w:rPr>
          <w:i/>
          <w:rFonts w:ascii="Times New Roman" w:hAnsi="Times New Roman"/>
          <w:sz w:val="24"/>
        </w:rPr>
        <w:t xml:space="preserve">Google AI Blog</w:t>
      </w:r>
      <w:r>
        <w:rPr>
          <w:rFonts w:ascii="Times New Roman" w:hAnsi="Times New Roman"/>
          <w:sz w:val="24"/>
        </w:rPr>
        <w:t xml:space="preserve">.</w:t>
      </w:r>
    </w:p>
    <w:p>
      <w:pPr>
        <w:ind w:firstLine="567" w:left="567" w:hanging="567"/>
      </w:pPr>
      <w:r>
        <w:rPr>
          <w:rFonts w:ascii="Times New Roman" w:hAnsi="Times New Roman"/>
          <w:sz w:val="24"/>
        </w:rPr>
        <w:t xml:space="preserve">Harari, G. M., Lane, N. D., Wang, R., Crosier, B. S., Campbell, A. T., and Gosling, S. D. (2016). Using smartphones to collect behavioral data in psychological science. </w:t>
      </w:r>
      <w:r>
        <w:rPr>
          <w:i/>
          <w:rFonts w:ascii="Times New Roman" w:hAnsi="Times New Roman"/>
          <w:sz w:val="24"/>
        </w:rPr>
        <w:t xml:space="preserve">Perspectives on Psychological Science</w:t>
      </w:r>
      <w:r>
        <w:rPr>
          <w:rFonts w:ascii="Times New Roman" w:hAnsi="Times New Roman"/>
          <w:sz w:val="24"/>
        </w:rPr>
        <w:t xml:space="preserve">, 11(6), 838-854.</w:t>
      </w:r>
    </w:p>
    <w:p>
      <w:pPr>
        <w:ind w:firstLine="567" w:left="567" w:hanging="567"/>
      </w:pPr>
      <w:r>
        <w:rPr>
          <w:rFonts w:ascii="Times New Roman" w:hAnsi="Times New Roman"/>
          <w:sz w:val="24"/>
        </w:rPr>
        <w:t xml:space="preserve">Schuller, B. W. (2018). Speech emotion recognition: Two decades in a nutshell, benchmarks, and ongoing trends. </w:t>
      </w:r>
      <w:r>
        <w:rPr>
          <w:i/>
          <w:rFonts w:ascii="Times New Roman" w:hAnsi="Times New Roman"/>
          <w:sz w:val="24"/>
        </w:rPr>
        <w:t xml:space="preserve">Communications of the ACM</w:t>
      </w:r>
      <w:r>
        <w:rPr>
          <w:rFonts w:ascii="Times New Roman" w:hAnsi="Times New Roman"/>
          <w:sz w:val="24"/>
        </w:rPr>
        <w:t xml:space="preserve">, 61(5), 90-99.</w:t>
      </w:r>
    </w:p>
    <w:p>
      <w:pPr>
        <w:ind w:firstLine="567" w:left="567" w:hanging="567"/>
      </w:pPr>
      <w:r>
        <w:rPr>
          <w:rFonts w:ascii="Times New Roman" w:hAnsi="Times New Roman"/>
          <w:sz w:val="24"/>
        </w:rPr>
        <w:t xml:space="preserve">Seligman, M. E. P. (2011). </w:t>
      </w:r>
      <w:r>
        <w:rPr>
          <w:i/>
          <w:rFonts w:ascii="Times New Roman" w:hAnsi="Times New Roman"/>
          <w:sz w:val="24"/>
        </w:rPr>
        <w:t xml:space="preserve">Flourish: A visionary new understanding of happiness and well-being</w:t>
      </w:r>
      <w:r>
        <w:rPr>
          <w:rFonts w:ascii="Times New Roman" w:hAnsi="Times New Roman"/>
          <w:sz w:val="24"/>
        </w:rPr>
        <w:t xml:space="preserve">. Free Press.</w:t>
      </w:r>
    </w:p>
    <w:p>
      <w:pPr>
        <w:ind w:firstLine="567" w:left="567" w:hanging="567"/>
      </w:pPr>
      <w:r>
        <w:rPr>
          <w:rFonts w:ascii="Times New Roman" w:hAnsi="Times New Roman"/>
          <w:sz w:val="24"/>
        </w:rPr>
        <w:t xml:space="preserve">Shiffman, S., Stone, A. A., and Hufford, M. R. (2008). Ecological momentary assessment. </w:t>
      </w:r>
      <w:r>
        <w:rPr>
          <w:i/>
          <w:rFonts w:ascii="Times New Roman" w:hAnsi="Times New Roman"/>
          <w:sz w:val="24"/>
        </w:rPr>
        <w:t xml:space="preserve">Annual Review of Clinical Psychology</w:t>
      </w:r>
      <w:r>
        <w:rPr>
          <w:rFonts w:ascii="Times New Roman" w:hAnsi="Times New Roman"/>
          <w:sz w:val="24"/>
        </w:rPr>
        <w:t xml:space="preserve">, 4, 1-32.</w:t>
      </w:r>
    </w:p>
    <w:p>
      <w:pPr>
        <w:ind w:firstLine="567" w:left="567" w:hanging="567"/>
      </w:pPr>
      <w:r>
        <w:rPr>
          <w:rFonts w:ascii="Times New Roman" w:hAnsi="Times New Roman"/>
          <w:sz w:val="24"/>
        </w:rPr>
        <w:t xml:space="preserve">Torous, J., Nicholas, J., Larsen, M. E., Firth, J., and Christensen, H. (2018). Clinical review of user engagement with mental health smartphone apps. </w:t>
      </w:r>
      <w:r>
        <w:rPr>
          <w:i/>
          <w:rFonts w:ascii="Times New Roman" w:hAnsi="Times New Roman"/>
          <w:sz w:val="24"/>
        </w:rPr>
        <w:t xml:space="preserve">Evidence-Based Mental Health</w:t>
      </w:r>
      <w:r>
        <w:rPr>
          <w:rFonts w:ascii="Times New Roman" w:hAnsi="Times New Roman"/>
          <w:sz w:val="24"/>
        </w:rPr>
        <w:t xml:space="preserve">, 21(3), 116-119.</w:t>
      </w:r>
    </w:p>
    <w:p>
      <w:pPr>
        <w:ind w:firstLine="567" w:left="567" w:hanging="567"/>
      </w:pPr>
      <w:r>
        <w:rPr>
          <w:rFonts w:ascii="Times New Roman" w:hAnsi="Times New Roman"/>
          <w:sz w:val="24"/>
        </w:rPr>
        <w:t xml:space="preserve">World Health Organization. (2022). </w:t>
      </w:r>
      <w:r>
        <w:rPr>
          <w:i/>
          <w:rFonts w:ascii="Times New Roman" w:hAnsi="Times New Roman"/>
          <w:sz w:val="24"/>
        </w:rPr>
        <w:t xml:space="preserve">World mental health report: Transforming mental health for all</w:t>
      </w:r>
      <w:r>
        <w:rPr>
          <w:rFonts w:ascii="Times New Roman" w:hAnsi="Times New Roman"/>
          <w:sz w:val="24"/>
        </w:rPr>
        <w:t xml:space="preserve">. WHO Press.</w:t>
      </w:r>
    </w:p>
  </w:body>
</w:document>
</file>