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20" w:line="240" w:lineRule="auto"/>
        <w:jc w:val="center"/>
      </w:pPr>
      <w:r>
        <w:rPr>
          <w:rFonts w:ascii="Times New Roman" w:hAnsi="Times New Roman" w:eastAsia="Times New Roman"/>
          <w:b/>
          <w:i w:val="0"/>
          <w:sz w:val="36"/>
        </w:rPr>
        <w:t>EmoScope: A Multimodal Emotion Recognition System for Privacy-Preserving Mental Wellness Support</w:t>
      </w:r>
    </w:p>
    <w:p>
      <w:pPr>
        <w:spacing w:before="0" w:after="40" w:line="240" w:lineRule="auto"/>
        <w:jc w:val="center"/>
      </w:pPr>
      <w:r>
        <w:rPr>
          <w:rFonts w:ascii="Times New Roman" w:hAnsi="Times New Roman" w:eastAsia="Times New Roman"/>
          <w:b w:val="0"/>
          <w:i w:val="0"/>
          <w:sz w:val="24"/>
        </w:rPr>
        <w:t>Ziyang Huang 2025112735</w:t>
      </w:r>
    </w:p>
    <w:p>
      <w:pPr>
        <w:spacing w:before="0" w:after="200" w:line="240" w:lineRule="auto"/>
        <w:jc w:val="center"/>
      </w:pPr>
      <w:r>
        <w:rPr>
          <w:rFonts w:ascii="Times New Roman" w:hAnsi="Times New Roman" w:eastAsia="Times New Roman"/>
          <w:b w:val="0"/>
          <w:i/>
          <w:sz w:val="21"/>
        </w:rPr>
        <w:t>School of Economics and Management, Harbin Institute of Technology</w:t>
      </w:r>
    </w:p>
    <w:p>
      <w:pPr>
        <w:spacing w:before="240" w:after="120" w:line="240" w:lineRule="auto"/>
      </w:pPr>
      <w:r>
        <w:rPr>
          <w:rFonts w:ascii="Times New Roman" w:hAnsi="Times New Roman" w:eastAsia="Times New Roman"/>
          <w:b/>
          <w:i w:val="0"/>
          <w:sz w:val="24"/>
        </w:rPr>
        <w:t>Abstract</w:t>
      </w:r>
    </w:p>
    <w:p>
      <w:pPr>
        <w:spacing w:before="0" w:after="120" w:line="240" w:lineRule="auto"/>
        <w:jc w:val="both"/>
      </w:pPr>
      <w:r>
        <w:rPr>
          <w:rFonts w:ascii="Times New Roman" w:hAnsi="Times New Roman" w:eastAsia="Times New Roman"/>
          <w:b w:val="0"/>
          <w:i w:val="0"/>
          <w:sz w:val="21"/>
        </w:rPr>
        <w:t>Smartphone-based mental wellness applications are often limited by active self-reporting, which is vulnerable to recall bias, social desirability bias, and long-term user attrition. This paper presents EmoScope, a native Android prototype that combines on-device facial expression analysis, speech-rate estimation, longitudinal memory analytics, and emergency intervention support. The system uses Google MediaPipe FaceLandmarker to extract 52 facial blendshape coefficients from CameraX streams and maps them to a ten-dimensional emotion space including joy, calm, anxiety, fatigue, and disgust. An exponentially weighted moving average filter stabilizes frame-level predictions, and a weighted scoring method converts emotion percentages into a 0-100 wellness index. Voice input is processed through Android SpeechRecognizer and interpreted together with facial signals, ambient light, and recent records by a large language model. A local memory engine summarizes 30-day emotional trends, dominant affective categories, stress and joy keywords, and exportable JSON records. Functional evaluation shows that the prototype can run real-time facial inference at 4 Hz, distinguish major affective patterns, classify weekly trends, export structured records, and trigger SOS support through manual, shake-based, or negative-emotion cues. The results suggest that privacy-preserving multimodal sensing can improve the continuity and usefulness of mobile mental wellness tools, while further clinical validation remains necessary.</w:t>
      </w:r>
    </w:p>
    <w:p>
      <w:pPr>
        <w:spacing w:before="0" w:after="160" w:line="240" w:lineRule="auto"/>
      </w:pPr>
      <w:r>
        <w:rPr>
          <w:rFonts w:ascii="Times New Roman" w:hAnsi="Times New Roman" w:eastAsia="Times New Roman"/>
          <w:b/>
          <w:i w:val="0"/>
          <w:sz w:val="24"/>
        </w:rPr>
        <w:t xml:space="preserve">Key words: </w:t>
      </w:r>
      <w:r>
        <w:rPr>
          <w:rFonts w:ascii="Times New Roman" w:hAnsi="Times New Roman" w:eastAsia="Times New Roman"/>
          <w:b w:val="0"/>
          <w:i w:val="0"/>
          <w:sz w:val="24"/>
        </w:rPr>
        <w:t>emotion recognition; multimodal sensing; mobile mental wellness; MediaPipe FaceLandmarker; on-device artificial intelligence; affective computing</w:t>
      </w:r>
    </w:p>
    <w:p>
      <w:pPr>
        <w:sectPr>
          <w:pgSz w:w="11906" w:h="16838"/>
          <w:pgMar w:top="1440" w:right="1440" w:bottom="1440" w:left="1440" w:header="850" w:footer="850" w:gutter="0"/>
          <w:cols w:space="720" w:num="1"/>
          <w:docGrid w:linePitch="360"/>
        </w:sectPr>
      </w:pPr>
    </w:p>
    <w:p>
      <w:pPr>
        <w:spacing w:before="240" w:after="120" w:line="240" w:lineRule="auto"/>
      </w:pPr>
      <w:r>
        <w:rPr>
          <w:rFonts w:ascii="Times New Roman" w:hAnsi="Times New Roman" w:eastAsia="Times New Roman"/>
          <w:b/>
          <w:i w:val="0"/>
          <w:sz w:val="24"/>
        </w:rPr>
        <w:t>Introduction</w:t>
      </w:r>
    </w:p>
    <w:p>
      <w:pPr>
        <w:spacing w:before="0" w:after="80" w:line="240" w:lineRule="auto"/>
        <w:ind w:firstLine="283"/>
        <w:jc w:val="both"/>
      </w:pPr>
      <w:r>
        <w:rPr>
          <w:rFonts w:ascii="Times New Roman" w:hAnsi="Times New Roman" w:eastAsia="Times New Roman"/>
          <w:b w:val="0"/>
          <w:i w:val="0"/>
          <w:sz w:val="21"/>
        </w:rPr>
        <w:t>Mental health problems have become a major public health concern. The World Health Organization reported that hundreds of millions of people live with mental disorders, while depression and anxiety create large social and economic losses each year (World Health Organization, 2022). Although professional psychological services are irreplaceable, many people cannot obtain timely support because of cost, stigma, geographic distance, or the shortage of trained professionals. Mobile applications therefore have an important role as low-threshold tools for daily emotional awareness and self-management.</w:t>
      </w:r>
    </w:p>
    <w:p>
      <w:pPr>
        <w:spacing w:before="0" w:after="80" w:line="240" w:lineRule="auto"/>
        <w:ind w:firstLine="283"/>
        <w:jc w:val="both"/>
      </w:pPr>
      <w:r>
        <w:rPr>
          <w:rFonts w:ascii="Times New Roman" w:hAnsi="Times New Roman" w:eastAsia="Times New Roman"/>
          <w:b w:val="0"/>
          <w:i w:val="0"/>
          <w:sz w:val="21"/>
        </w:rPr>
        <w:t>However, most consumer mood-tracking applications still depend heavily on active self-report. Users are expected to open the application, remember their recent state, choose a mood label, and write a note. This process is simple but fragile. Ecological momentary assessment research has shown that self-report can capture daily experience, but its accuracy depends on compliance and timing (Shiffman, Stone, and Hufford, 2008). In real-life situations, people who are anxious, tired, or depressed may be exactly the users least willing to record their feelings. As a result, emotional records often become incomplete when support is most needed.</w:t>
      </w:r>
    </w:p>
    <w:p>
      <w:pPr>
        <w:spacing w:before="0" w:after="80" w:line="240" w:lineRule="auto"/>
        <w:ind w:firstLine="283"/>
        <w:jc w:val="both"/>
      </w:pPr>
      <w:r>
        <w:rPr>
          <w:rFonts w:ascii="Times New Roman" w:hAnsi="Times New Roman" w:eastAsia="Times New Roman"/>
          <w:b w:val="0"/>
          <w:i w:val="0"/>
          <w:sz w:val="21"/>
        </w:rPr>
        <w:t>Recent progress in affective computing makes it possible to supplement self-report with passive and semi-passive signals. Facial expression analysis is one of the most widely studied channels. Ekman's theory of basic emotions and the Facial Action Coding System provide a psychological foundation for interpreting facial movements (Ekman, 1999). Modern mobile frameworks such as MediaPipe can extract dense facial landmarks and continuous blendshape coefficients in real time, enabling more fine-grained analysis than simple categorical recognition. Voice also contains useful affective information, because speech rate, rhythm, and prosodic patterns are associated with arousal and emotional valence (Schuller, 2018).</w:t>
      </w:r>
    </w:p>
    <w:p>
      <w:pPr>
        <w:spacing w:before="0" w:after="80" w:line="240" w:lineRule="auto"/>
        <w:ind w:firstLine="283"/>
        <w:jc w:val="both"/>
      </w:pPr>
      <w:r>
        <w:rPr>
          <w:rFonts w:ascii="Times New Roman" w:hAnsi="Times New Roman" w:eastAsia="Times New Roman"/>
          <w:b w:val="0"/>
          <w:i w:val="0"/>
          <w:sz w:val="21"/>
        </w:rPr>
        <w:t>This paper introduces EmoScope, a privacy-oriented Android system designed to record, interpret, and support users' emotional states. The contribution of this work is not a clinically validated diagnostic model, but an engineering prototype that integrates multiple affective channels into a coherent mobile wellness workflow. Specifically, EmoScope contributes: a ten-emotion facial mapping based on MediaPipe blendshapes; a multimodal interpretation process combining face, speech, light, and recent records; a local memory engine for 30-day trend analysis; and a user-confirmed SOS intervention mechanism for high-risk moments.</w:t>
      </w:r>
    </w:p>
    <w:p>
      <w:pPr>
        <w:spacing w:before="240" w:after="120" w:line="240" w:lineRule="auto"/>
      </w:pPr>
      <w:r>
        <w:rPr>
          <w:rFonts w:ascii="Times New Roman" w:hAnsi="Times New Roman" w:eastAsia="Times New Roman"/>
          <w:b/>
          <w:i w:val="0"/>
          <w:sz w:val="24"/>
        </w:rPr>
        <w:t>Methods</w:t>
      </w:r>
    </w:p>
    <w:p>
      <w:pPr>
        <w:spacing w:before="0" w:after="80" w:line="240" w:lineRule="auto"/>
        <w:ind w:firstLine="283"/>
        <w:jc w:val="both"/>
      </w:pPr>
      <w:r>
        <w:rPr>
          <w:rFonts w:ascii="Times New Roman" w:hAnsi="Times New Roman" w:eastAsia="Times New Roman"/>
          <w:b w:val="0"/>
          <w:i w:val="0"/>
          <w:sz w:val="21"/>
        </w:rPr>
        <w:t>EmoScope was implemented as a native Android application in Java 11, targeting Android API 24 and above. The application follows a single-activity, multi-fragment structure with four main user areas: home radar, history, wellness workshop, and settings. Core logic is separated into engines, controllers, custom views, and utility modules. This structure reduces the responsibility of the main activity and allows camera analysis, voice recognition, SOS intervention, data storage, and memory summarization to be maintained independently.</w:t>
      </w:r>
    </w:p>
    <w:p>
      <w:pPr>
        <w:spacing w:before="0" w:after="80" w:line="240" w:lineRule="auto"/>
        <w:ind w:firstLine="283"/>
        <w:jc w:val="both"/>
      </w:pPr>
      <w:r>
        <w:rPr>
          <w:rFonts w:ascii="Times New Roman" w:hAnsi="Times New Roman" w:eastAsia="Times New Roman"/>
          <w:b w:val="0"/>
          <w:i w:val="0"/>
          <w:sz w:val="21"/>
        </w:rPr>
        <w:t>The facial emotion pipeline uses CameraX ImageAnalysis to capture RGBA frames at 640 x 480 resolution. Google MediaPipe FaceLandmarker runs in live-stream mode and returns 52 facial blendshape coefficients. EmoScope maps these coefficients into ten emotion dimensions: joy, calm, surprise, contempt, sadness, anxiety, anger, fear, disgust, and fatigue. For example, smile and cheek-squint coefficients contribute strongly to joy, while brow-down, mouth-press, and nose-sneer coefficients contribute to anger or disgust. Calm is treated as a residual baseline when no strong negative or high-arousal signal dominates.</w:t>
      </w:r>
    </w:p>
    <w:p>
      <w:pPr>
        <w:spacing w:before="0" w:after="80" w:line="240" w:lineRule="auto"/>
        <w:ind w:firstLine="283"/>
        <w:jc w:val="both"/>
      </w:pPr>
      <w:r>
        <w:rPr>
          <w:rFonts w:ascii="Times New Roman" w:hAnsi="Times New Roman" w:eastAsia="Times New Roman"/>
          <w:b w:val="0"/>
          <w:i w:val="0"/>
          <w:sz w:val="21"/>
        </w:rPr>
        <w:t>Because raw frame-level outputs can fluctuate, EmoScope applies an exponentially weighted moving average filter with alpha equal to 0.3. This design makes the result stable enough for user display while still responding to visible emotional changes. The system then computes a weighted wellness score from 0 to 100. Positive and calm states receive higher weights, while fear, anger, disgust, sadness, anxiety, and fatigue receive lower weights. The score is not intended as a medical measurement; it is a user-facing index for comparing short-term emotional states.</w:t>
      </w:r>
    </w:p>
    <w:p>
      <w:pPr>
        <w:spacing w:before="0" w:after="80" w:line="240" w:lineRule="auto"/>
        <w:ind w:firstLine="283"/>
        <w:jc w:val="both"/>
      </w:pPr>
      <w:r>
        <w:rPr>
          <w:rFonts w:ascii="Times New Roman" w:hAnsi="Times New Roman" w:eastAsia="Times New Roman"/>
          <w:b w:val="0"/>
          <w:i w:val="0"/>
          <w:sz w:val="21"/>
        </w:rPr>
        <w:t>Voice input is handled by Android SpeechRecognizer in Chinese recognition mode. The system estimates speech rate by dividing transcript length by speaking duration. Very fast speech is treated as a possible sign of agitation, while very slow speech is treated as a possible sign of low energy. The voice transcript, speech-rate label, top facial emotions, ambient light category, and recent records are combined into a structured prompt for the DeepSeek chat model. The prompt asks the model to generate brief, empathetic, and non-prescriptive feedback rather than diagnosis.</w:t>
      </w:r>
    </w:p>
    <w:p>
      <w:pPr>
        <w:spacing w:before="0" w:after="80" w:line="240" w:lineRule="auto"/>
        <w:ind w:firstLine="283"/>
        <w:jc w:val="both"/>
      </w:pPr>
      <w:r>
        <w:rPr>
          <w:rFonts w:ascii="Times New Roman" w:hAnsi="Times New Roman" w:eastAsia="Times New Roman"/>
          <w:b w:val="0"/>
          <w:i w:val="0"/>
          <w:sz w:val="21"/>
        </w:rPr>
        <w:t>Longitudinal analysis is performed by a local AiMemoryEngine. The engine retrieves recent records from SQLite, filters them within a 30-day window, extracts emotion percentages using a synchronized ten-emotion regular expression, and calculates a daily weighted mean. It also counts stress-related and joy-related keywords, identifies dominant emotion categories, compares the most recent seven days with the previous seven days, and computes the longest consecutive recording streak. The same analysis can be presented as a readable summary or serialized as JSON for export.</w:t>
      </w:r>
    </w:p>
    <w:p>
      <w:pPr>
        <w:spacing w:before="0" w:after="80" w:line="240" w:lineRule="auto"/>
        <w:ind w:firstLine="283"/>
        <w:jc w:val="both"/>
      </w:pPr>
      <w:r>
        <w:rPr>
          <w:rFonts w:ascii="Times New Roman" w:hAnsi="Times New Roman" w:eastAsia="Times New Roman"/>
          <w:b w:val="0"/>
          <w:i w:val="0"/>
          <w:sz w:val="21"/>
        </w:rPr>
        <w:t>The SOS module uses three entry points: a manual button, shake detection from the accelerometer, and negative-emotion cues from facial analysis. To protect user agency, automatic facial detection does not directly call emergency contacts. Instead, it surfaces an SOS cue and requires user confirmation through a countdown dialog. After confirmation, the application can display guided breathing, send a throttled emergency message to a preset contact, or open one-tap dialing to a psychological assistance hotline.</w:t>
      </w:r>
    </w:p>
    <w:p>
      <w:pPr>
        <w:spacing w:before="240" w:after="120" w:line="240" w:lineRule="auto"/>
      </w:pPr>
      <w:r>
        <w:rPr>
          <w:rFonts w:ascii="Times New Roman" w:hAnsi="Times New Roman" w:eastAsia="Times New Roman"/>
          <w:b/>
          <w:i w:val="0"/>
          <w:sz w:val="24"/>
        </w:rPr>
        <w:t>Results</w:t>
      </w:r>
    </w:p>
    <w:p>
      <w:pPr>
        <w:spacing w:before="0" w:after="80" w:line="240" w:lineRule="auto"/>
        <w:ind w:firstLine="283"/>
        <w:jc w:val="both"/>
      </w:pPr>
      <w:r>
        <w:rPr>
          <w:rFonts w:ascii="Times New Roman" w:hAnsi="Times New Roman" w:eastAsia="Times New Roman"/>
          <w:b w:val="0"/>
          <w:i w:val="0"/>
          <w:sz w:val="21"/>
        </w:rPr>
        <w:t>The prototype was successfully implemented as a 234-file Android project, including 30 Java source files, 139 drawable resources, seven layout files, and supporting XML configuration. The release APK size was approximately 49 MB after R8 optimization. The application ran on Android 7.0 through Android 15, and the main functions were validated through functional testing on representative mobile hardware.</w:t>
      </w:r>
    </w:p>
    <w:p>
      <w:pPr>
        <w:spacing w:before="0" w:after="80" w:line="240" w:lineRule="auto"/>
        <w:ind w:firstLine="283"/>
        <w:jc w:val="both"/>
      </w:pPr>
      <w:r>
        <w:rPr>
          <w:rFonts w:ascii="Times New Roman" w:hAnsi="Times New Roman" w:eastAsia="Times New Roman"/>
          <w:b w:val="0"/>
          <w:i w:val="0"/>
          <w:sz w:val="21"/>
        </w:rPr>
        <w:t>Facial analysis operated at a stable 4 Hz inference rate under normal lighting. In manual expression tests, the weighted wellness score showed a dynamic range of more than 40 points between joy-dominant and anxiety-dominant expressions. The moving average filter reduced visible frame-to-frame jitter from roughly 15-20 percentage points to about 3-5 percentage points after convergence. This made the overlay more readable and reduced the chance that users would overreact to a single unstable frame.</w:t>
      </w:r>
    </w:p>
    <w:p>
      <w:pPr>
        <w:spacing w:before="0" w:after="80" w:line="240" w:lineRule="auto"/>
        <w:ind w:firstLine="283"/>
        <w:jc w:val="both"/>
      </w:pPr>
      <w:r>
        <w:rPr>
          <w:rFonts w:ascii="Times New Roman" w:hAnsi="Times New Roman" w:eastAsia="Times New Roman"/>
          <w:b w:val="0"/>
          <w:i w:val="0"/>
          <w:sz w:val="21"/>
        </w:rPr>
        <w:t>Voice analysis correctly distinguished three broad speaking patterns in functional tests: fast speech above about 4.5 characters per second, normal speech around 2.5-4.0 characters per second, and slow speech near 1.0 character per second. The large-language-model response was able to combine facial emotion, transcript content, speech-rate label, and recent memory records into a short supportive message. Median response time under broadband Wi-Fi was about 1.8 seconds, and exponential-backoff retry recovered from simulated transient network failures.</w:t>
      </w:r>
    </w:p>
    <w:p>
      <w:pPr>
        <w:spacing w:before="0" w:after="80" w:line="240" w:lineRule="auto"/>
        <w:ind w:firstLine="283"/>
        <w:jc w:val="both"/>
      </w:pPr>
      <w:r>
        <w:rPr>
          <w:rFonts w:ascii="Times New Roman" w:hAnsi="Times New Roman" w:eastAsia="Times New Roman"/>
          <w:b w:val="0"/>
          <w:i w:val="0"/>
          <w:sz w:val="21"/>
        </w:rPr>
        <w:t>The memory engine was evaluated with synthetic record sets covering different emotion distributions and date patterns. A defect in the earlier version matched only six emotion names and caused most records to fall back to a coarse binary heuristic. After synchronizing the regular expression with the full ten-emotion map, extraction accuracy reached 100 percent on the test set. Weekly trend classification also behaved as expected: a positive delta above eight points was classified as improving, a negative delta below minus eight points as declining, and smaller changes as stable.</w:t>
      </w:r>
    </w:p>
    <w:p>
      <w:pPr>
        <w:spacing w:before="0" w:after="80" w:line="240" w:lineRule="auto"/>
        <w:ind w:firstLine="283"/>
        <w:jc w:val="both"/>
      </w:pPr>
      <w:r>
        <w:rPr>
          <w:rFonts w:ascii="Times New Roman" w:hAnsi="Times New Roman" w:eastAsia="Times New Roman"/>
          <w:b w:val="0"/>
          <w:i w:val="0"/>
          <w:sz w:val="21"/>
        </w:rPr>
        <w:t>Data portability was verified by exporting local records to a timestamped JSON file containing export date, total record count, time, type, detail, and positive-status fields. The SOS function also met its functional goals. Manual activation opened the confirmation flow in less than 0.5 seconds; shake activation responded within about one to two seconds; and facial negative-emotion detection displayed a passive cue rather than making an automatic emergency action. These results indicate that EmoScope is technically feasible as a privacy-preserving mobile wellness prototype.</w:t>
      </w:r>
    </w:p>
    <w:p>
      <w:pPr>
        <w:spacing w:before="80" w:after="40" w:line="240" w:lineRule="auto"/>
        <w:jc w:val="center"/>
      </w:pPr>
      <w:r>
        <w:rPr>
          <w:rFonts w:ascii="Times New Roman" w:hAnsi="Times New Roman" w:eastAsia="Times New Roman"/>
          <w:b/>
          <w:i w:val="0"/>
          <w:sz w:val="18"/>
        </w:rPr>
        <w:t>Table 1 Functional evaluation summary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09"/>
        <w:gridCol w:w="3009"/>
        <w:gridCol w:w="3009"/>
      </w:tblGrid>
      <w:tr>
        <w:tc>
          <w:tcPr>
            <w:tcW w:type="dxa" w:w="1300"/>
            <w:vAlign w:val="center"/>
          </w:tcPr>
          <w:p>
            <w:pPr>
              <w:spacing w:before="0" w:after="0" w:line="240" w:lineRule="auto"/>
              <w:jc w:val="left"/>
            </w:pPr>
            <w:r>
              <w:rPr>
                <w:rFonts w:ascii="Times New Roman" w:hAnsi="Times New Roman" w:eastAsia="Times New Roman"/>
                <w:b/>
                <w:i w:val="0"/>
                <w:sz w:val="16"/>
              </w:rPr>
              <w:t>Component</w:t>
            </w:r>
          </w:p>
        </w:tc>
        <w:tc>
          <w:tcPr>
            <w:tcW w:type="dxa" w:w="1400"/>
            <w:vAlign w:val="center"/>
          </w:tcPr>
          <w:p>
            <w:pPr>
              <w:spacing w:before="0" w:after="0" w:line="240" w:lineRule="auto"/>
              <w:jc w:val="left"/>
            </w:pPr>
            <w:r>
              <w:rPr>
                <w:rFonts w:ascii="Times New Roman" w:hAnsi="Times New Roman" w:eastAsia="Times New Roman"/>
                <w:b/>
                <w:i w:val="0"/>
                <w:sz w:val="16"/>
              </w:rPr>
              <w:t>Metric</w:t>
            </w:r>
          </w:p>
        </w:tc>
        <w:tc>
          <w:tcPr>
            <w:tcW w:type="dxa" w:w="1950"/>
            <w:vAlign w:val="center"/>
          </w:tcPr>
          <w:p>
            <w:pPr>
              <w:spacing w:before="0" w:after="0" w:line="240" w:lineRule="auto"/>
              <w:jc w:val="left"/>
            </w:pPr>
            <w:r>
              <w:rPr>
                <w:rFonts w:ascii="Times New Roman" w:hAnsi="Times New Roman" w:eastAsia="Times New Roman"/>
                <w:b/>
                <w:i w:val="0"/>
                <w:sz w:val="16"/>
              </w:rPr>
              <w:t>Result</w:t>
            </w:r>
          </w:p>
        </w:tc>
      </w:tr>
      <w:tr>
        <w:tc>
          <w:tcPr>
            <w:tcW w:type="dxa" w:w="1300"/>
            <w:vAlign w:val="center"/>
          </w:tcPr>
          <w:p>
            <w:pPr>
              <w:spacing w:before="0" w:after="0" w:line="240" w:lineRule="auto"/>
              <w:jc w:val="left"/>
            </w:pPr>
            <w:r>
              <w:rPr>
                <w:rFonts w:ascii="Times New Roman" w:hAnsi="Times New Roman" w:eastAsia="Times New Roman"/>
                <w:b w:val="0"/>
                <w:i w:val="0"/>
                <w:sz w:val="16"/>
              </w:rPr>
              <w:t>Face analysis</w:t>
            </w:r>
          </w:p>
        </w:tc>
        <w:tc>
          <w:tcPr>
            <w:tcW w:type="dxa" w:w="1400"/>
            <w:vAlign w:val="center"/>
          </w:tcPr>
          <w:p>
            <w:pPr>
              <w:spacing w:before="0" w:after="0" w:line="240" w:lineRule="auto"/>
              <w:jc w:val="left"/>
            </w:pPr>
            <w:r>
              <w:rPr>
                <w:rFonts w:ascii="Times New Roman" w:hAnsi="Times New Roman" w:eastAsia="Times New Roman"/>
                <w:b w:val="0"/>
                <w:i w:val="0"/>
                <w:sz w:val="16"/>
              </w:rPr>
              <w:t>Inference and stability</w:t>
            </w:r>
          </w:p>
        </w:tc>
        <w:tc>
          <w:tcPr>
            <w:tcW w:type="dxa" w:w="1950"/>
            <w:vAlign w:val="center"/>
          </w:tcPr>
          <w:p>
            <w:pPr>
              <w:spacing w:before="0" w:after="0" w:line="240" w:lineRule="auto"/>
              <w:jc w:val="left"/>
            </w:pPr>
            <w:r>
              <w:rPr>
                <w:rFonts w:ascii="Times New Roman" w:hAnsi="Times New Roman" w:eastAsia="Times New Roman"/>
                <w:b w:val="0"/>
                <w:i w:val="0"/>
                <w:sz w:val="16"/>
              </w:rPr>
              <w:t>4 Hz; jitter reduced to about 3-5 percentage points</w:t>
            </w:r>
          </w:p>
        </w:tc>
      </w:tr>
      <w:tr>
        <w:tc>
          <w:tcPr>
            <w:tcW w:type="dxa" w:w="1300"/>
            <w:vAlign w:val="center"/>
          </w:tcPr>
          <w:p>
            <w:pPr>
              <w:spacing w:before="0" w:after="0" w:line="240" w:lineRule="auto"/>
              <w:jc w:val="left"/>
            </w:pPr>
            <w:r>
              <w:rPr>
                <w:rFonts w:ascii="Times New Roman" w:hAnsi="Times New Roman" w:eastAsia="Times New Roman"/>
                <w:b w:val="0"/>
                <w:i w:val="0"/>
                <w:sz w:val="16"/>
              </w:rPr>
              <w:t>Memory engine</w:t>
            </w:r>
          </w:p>
        </w:tc>
        <w:tc>
          <w:tcPr>
            <w:tcW w:type="dxa" w:w="1400"/>
            <w:vAlign w:val="center"/>
          </w:tcPr>
          <w:p>
            <w:pPr>
              <w:spacing w:before="0" w:after="0" w:line="240" w:lineRule="auto"/>
              <w:jc w:val="left"/>
            </w:pPr>
            <w:r>
              <w:rPr>
                <w:rFonts w:ascii="Times New Roman" w:hAnsi="Times New Roman" w:eastAsia="Times New Roman"/>
                <w:b w:val="0"/>
                <w:i w:val="0"/>
                <w:sz w:val="16"/>
              </w:rPr>
              <w:t>Emotion extraction</w:t>
            </w:r>
          </w:p>
        </w:tc>
        <w:tc>
          <w:tcPr>
            <w:tcW w:type="dxa" w:w="1950"/>
            <w:vAlign w:val="center"/>
          </w:tcPr>
          <w:p>
            <w:pPr>
              <w:spacing w:before="0" w:after="0" w:line="240" w:lineRule="auto"/>
              <w:jc w:val="left"/>
            </w:pPr>
            <w:r>
              <w:rPr>
                <w:rFonts w:ascii="Times New Roman" w:hAnsi="Times New Roman" w:eastAsia="Times New Roman"/>
                <w:b w:val="0"/>
                <w:i w:val="0"/>
                <w:sz w:val="16"/>
              </w:rPr>
              <w:t>100 percent on synthetic ten-emotion records</w:t>
            </w:r>
          </w:p>
        </w:tc>
      </w:tr>
      <w:tr>
        <w:tc>
          <w:tcPr>
            <w:tcW w:type="dxa" w:w="1300"/>
            <w:vAlign w:val="center"/>
          </w:tcPr>
          <w:p>
            <w:pPr>
              <w:spacing w:before="0" w:after="0" w:line="240" w:lineRule="auto"/>
              <w:jc w:val="left"/>
            </w:pPr>
            <w:r>
              <w:rPr>
                <w:rFonts w:ascii="Times New Roman" w:hAnsi="Times New Roman" w:eastAsia="Times New Roman"/>
                <w:b w:val="0"/>
                <w:i w:val="0"/>
                <w:sz w:val="16"/>
              </w:rPr>
              <w:t>Trend analysis</w:t>
            </w:r>
          </w:p>
        </w:tc>
        <w:tc>
          <w:tcPr>
            <w:tcW w:type="dxa" w:w="1400"/>
            <w:vAlign w:val="center"/>
          </w:tcPr>
          <w:p>
            <w:pPr>
              <w:spacing w:before="0" w:after="0" w:line="240" w:lineRule="auto"/>
              <w:jc w:val="left"/>
            </w:pPr>
            <w:r>
              <w:rPr>
                <w:rFonts w:ascii="Times New Roman" w:hAnsi="Times New Roman" w:eastAsia="Times New Roman"/>
                <w:b w:val="0"/>
                <w:i w:val="0"/>
                <w:sz w:val="16"/>
              </w:rPr>
              <w:t>Weekly change</w:t>
            </w:r>
          </w:p>
        </w:tc>
        <w:tc>
          <w:tcPr>
            <w:tcW w:type="dxa" w:w="1950"/>
            <w:vAlign w:val="center"/>
          </w:tcPr>
          <w:p>
            <w:pPr>
              <w:spacing w:before="0" w:after="0" w:line="240" w:lineRule="auto"/>
              <w:jc w:val="left"/>
            </w:pPr>
            <w:r>
              <w:rPr>
                <w:rFonts w:ascii="Times New Roman" w:hAnsi="Times New Roman" w:eastAsia="Times New Roman"/>
                <w:b w:val="0"/>
                <w:i w:val="0"/>
                <w:sz w:val="16"/>
              </w:rPr>
              <w:t>Improving, stable, or declining by +/-8-point threshold</w:t>
            </w:r>
          </w:p>
        </w:tc>
      </w:tr>
      <w:tr>
        <w:tc>
          <w:tcPr>
            <w:tcW w:type="dxa" w:w="1300"/>
            <w:vAlign w:val="center"/>
          </w:tcPr>
          <w:p>
            <w:pPr>
              <w:spacing w:before="0" w:after="0" w:line="240" w:lineRule="auto"/>
              <w:jc w:val="left"/>
            </w:pPr>
            <w:r>
              <w:rPr>
                <w:rFonts w:ascii="Times New Roman" w:hAnsi="Times New Roman" w:eastAsia="Times New Roman"/>
                <w:b w:val="0"/>
                <w:i w:val="0"/>
                <w:sz w:val="16"/>
              </w:rPr>
              <w:t>SOS support</w:t>
            </w:r>
          </w:p>
        </w:tc>
        <w:tc>
          <w:tcPr>
            <w:tcW w:type="dxa" w:w="1400"/>
            <w:vAlign w:val="center"/>
          </w:tcPr>
          <w:p>
            <w:pPr>
              <w:spacing w:before="0" w:after="0" w:line="240" w:lineRule="auto"/>
              <w:jc w:val="left"/>
            </w:pPr>
            <w:r>
              <w:rPr>
                <w:rFonts w:ascii="Times New Roman" w:hAnsi="Times New Roman" w:eastAsia="Times New Roman"/>
                <w:b w:val="0"/>
                <w:i w:val="0"/>
                <w:sz w:val="16"/>
              </w:rPr>
              <w:t>Manual trigger</w:t>
            </w:r>
          </w:p>
        </w:tc>
        <w:tc>
          <w:tcPr>
            <w:tcW w:type="dxa" w:w="1950"/>
            <w:vAlign w:val="center"/>
          </w:tcPr>
          <w:p>
            <w:pPr>
              <w:spacing w:before="0" w:after="0" w:line="240" w:lineRule="auto"/>
              <w:jc w:val="left"/>
            </w:pPr>
            <w:r>
              <w:rPr>
                <w:rFonts w:ascii="Times New Roman" w:hAnsi="Times New Roman" w:eastAsia="Times New Roman"/>
                <w:b w:val="0"/>
                <w:i w:val="0"/>
                <w:sz w:val="16"/>
              </w:rPr>
              <w:t>Confirmation flow opened in under 0.5 seconds</w:t>
            </w:r>
          </w:p>
        </w:tc>
      </w:tr>
    </w:tbl>
    <w:p>
      <w:pPr>
        <w:spacing w:before="40" w:after="80" w:line="240" w:lineRule="auto"/>
      </w:pPr>
      <w:r>
        <w:rPr>
          <w:rFonts w:ascii="Times New Roman" w:hAnsi="Times New Roman" w:eastAsia="Times New Roman"/>
          <w:b w:val="0"/>
          <w:i w:val="0"/>
          <w:sz w:val="16"/>
        </w:rPr>
        <w:t>Note. Results are from prototype functional tests, not clinical validation.</w:t>
      </w:r>
    </w:p>
    <w:p>
      <w:pPr>
        <w:spacing w:before="240" w:after="120" w:line="240" w:lineRule="auto"/>
      </w:pPr>
      <w:r>
        <w:rPr>
          <w:rFonts w:ascii="Times New Roman" w:hAnsi="Times New Roman" w:eastAsia="Times New Roman"/>
          <w:b/>
          <w:i w:val="0"/>
          <w:sz w:val="24"/>
        </w:rPr>
        <w:t>Discussion</w:t>
      </w:r>
    </w:p>
    <w:p>
      <w:pPr>
        <w:spacing w:before="0" w:after="80" w:line="240" w:lineRule="auto"/>
        <w:ind w:firstLine="283"/>
        <w:jc w:val="both"/>
      </w:pPr>
      <w:r>
        <w:rPr>
          <w:rFonts w:ascii="Times New Roman" w:hAnsi="Times New Roman" w:eastAsia="Times New Roman"/>
          <w:b w:val="0"/>
          <w:i w:val="0"/>
          <w:sz w:val="21"/>
        </w:rPr>
        <w:t>The main value of EmoScope is its attempt to reduce dependence on self-report without removing user control. Passive facial analysis and semi-passive voice analysis can create more continuous records than manual mood selection alone. At the same time, the system keeps raw biometric inference on the device and stores records locally. This local-first design is important because facial expression data and emotional records are sensitive personal information. Prior studies have emphasized that mobile sensing can support psychological research, but privacy and interpretation must be handled carefully (Harari et al., 2016).</w:t>
      </w:r>
    </w:p>
    <w:p>
      <w:pPr>
        <w:spacing w:before="0" w:after="80" w:line="240" w:lineRule="auto"/>
        <w:ind w:firstLine="283"/>
        <w:jc w:val="both"/>
      </w:pPr>
      <w:r>
        <w:rPr>
          <w:rFonts w:ascii="Times New Roman" w:hAnsi="Times New Roman" w:eastAsia="Times New Roman"/>
          <w:b w:val="0"/>
          <w:i w:val="0"/>
          <w:sz w:val="21"/>
        </w:rPr>
        <w:t>The system also shows how a large language model can serve as an explanation layer rather than as the core detector. EmoScope does not ask the model to infer emotion from nothing. Instead, it provides structured signals: facial percentages, speech rate, ambient light, and recent records. This design improves interpretability and helps separate sensing from narrative feedback. The model's role is to produce understandable and empathetic language, while numerical analysis remains controlled by local modules.</w:t>
      </w:r>
    </w:p>
    <w:p>
      <w:pPr>
        <w:spacing w:before="0" w:after="80" w:line="240" w:lineRule="auto"/>
        <w:ind w:firstLine="283"/>
        <w:jc w:val="both"/>
      </w:pPr>
      <w:r>
        <w:rPr>
          <w:rFonts w:ascii="Times New Roman" w:hAnsi="Times New Roman" w:eastAsia="Times New Roman"/>
          <w:b w:val="0"/>
          <w:i w:val="0"/>
          <w:sz w:val="21"/>
        </w:rPr>
        <w:t>Nevertheless, several limitations must be acknowledged. First, the blendshape-to-emotion mapping is hand-engineered rather than learned from a large labeled dataset. This makes the system transparent but may reduce accuracy across different ages, cultures, lighting conditions, and facial appearances. Bias in automated face analysis is a serious concern in human-centered AI systems (Buolamwini and Gebru, 2018). Second, speech-rate analysis is only a coarse prosodic feature and cannot replace acoustic emotion recognition based on pitch, energy, and spectral features. Third, the functional evaluation used synthetic or controlled data rather than a clinical user study.</w:t>
      </w:r>
    </w:p>
    <w:p>
      <w:pPr>
        <w:spacing w:before="0" w:after="80" w:line="240" w:lineRule="auto"/>
        <w:ind w:firstLine="283"/>
        <w:jc w:val="both"/>
      </w:pPr>
      <w:r>
        <w:rPr>
          <w:rFonts w:ascii="Times New Roman" w:hAnsi="Times New Roman" w:eastAsia="Times New Roman"/>
          <w:b w:val="0"/>
          <w:i w:val="0"/>
          <w:sz w:val="21"/>
        </w:rPr>
        <w:t>For these reasons, EmoScope should be understood as a mental wellness assistant rather than a diagnostic or therapeutic product. Its outputs can encourage reflection, journaling, breathing exercises, or help-seeking, but they should not be interpreted as clinical evidence. Future work should collect ethically approved user data, compare the system with validated self-report scales such as PHQ-9 or GAD-7, improve demographic fairness, add stronger acoustic features, and study whether longitudinal feedback actually improves engagement and self-awareness.</w:t>
      </w:r>
    </w:p>
    <w:p>
      <w:pPr>
        <w:spacing w:before="240" w:after="120" w:line="240" w:lineRule="auto"/>
      </w:pPr>
      <w:r>
        <w:rPr>
          <w:rFonts w:ascii="Times New Roman" w:hAnsi="Times New Roman" w:eastAsia="Times New Roman"/>
          <w:b/>
          <w:i w:val="0"/>
          <w:sz w:val="24"/>
        </w:rPr>
        <w:t>Conclusion</w:t>
      </w:r>
    </w:p>
    <w:p>
      <w:pPr>
        <w:spacing w:before="0" w:after="80" w:line="240" w:lineRule="auto"/>
        <w:ind w:firstLine="283"/>
        <w:jc w:val="both"/>
      </w:pPr>
      <w:r>
        <w:rPr>
          <w:rFonts w:ascii="Times New Roman" w:hAnsi="Times New Roman" w:eastAsia="Times New Roman"/>
          <w:b w:val="0"/>
          <w:i w:val="0"/>
          <w:sz w:val="21"/>
        </w:rPr>
        <w:t>This paper presented EmoScope, a multimodal Android prototype for privacy-preserving mental wellness support. By combining on-device facial blendshape analysis, speech-rate classification, local memory analytics, data export, and user-confirmed SOS support, the system addresses several limitations of traditional self-report mood trackers. Functional testing suggests that the prototype is technically feasible and can provide stable real-time feedback, longitudinal summaries, and practical intervention pathways. Further validation with diverse users and clinical measures is required before the system can make stronger claims about psychological accuracy or health outcomes.</w:t>
      </w:r>
    </w:p>
    <w:p>
      <w:pPr>
        <w:spacing w:before="240" w:after="120" w:line="240" w:lineRule="auto"/>
      </w:pPr>
      <w:r>
        <w:rPr>
          <w:rFonts w:ascii="Times New Roman" w:hAnsi="Times New Roman" w:eastAsia="Times New Roman"/>
          <w:b/>
          <w:i w:val="0"/>
          <w:sz w:val="24"/>
        </w:rPr>
        <w:t>References</w:t>
      </w:r>
    </w:p>
    <w:p>
      <w:pPr>
        <w:spacing w:before="0" w:after="60" w:line="240" w:lineRule="auto"/>
        <w:ind w:hanging="283" w:left="283"/>
        <w:jc w:val="both"/>
      </w:pPr>
      <w:r>
        <w:rPr>
          <w:rFonts w:ascii="Times New Roman" w:hAnsi="Times New Roman" w:eastAsia="Times New Roman"/>
          <w:b w:val="0"/>
          <w:i w:val="0"/>
          <w:sz w:val="21"/>
        </w:rPr>
        <w:t>Baumel, A., Muench, F., Edan, S., and Kane, J. M. (2019). Objective user engagement with mental health apps: Systematic search and panel-based usage analysis. Journal of Medical Internet Research, 21(3), e14567.</w:t>
      </w:r>
    </w:p>
    <w:p>
      <w:pPr>
        <w:spacing w:before="0" w:after="60" w:line="240" w:lineRule="auto"/>
        <w:ind w:hanging="283" w:left="283"/>
        <w:jc w:val="both"/>
      </w:pPr>
      <w:r>
        <w:rPr>
          <w:rFonts w:ascii="Times New Roman" w:hAnsi="Times New Roman" w:eastAsia="Times New Roman"/>
          <w:b w:val="0"/>
          <w:i w:val="0"/>
          <w:sz w:val="21"/>
        </w:rPr>
        <w:t>Buolamwini, J., and Gebru, T. (2018). Gender shades: Intersectional accuracy disparities in commercial gender classification. Proceedings of the 1st Conference on Fairness, Accountability and Transparency, 77-91.</w:t>
      </w:r>
    </w:p>
    <w:p>
      <w:pPr>
        <w:spacing w:before="0" w:after="60" w:line="240" w:lineRule="auto"/>
        <w:ind w:hanging="283" w:left="283"/>
        <w:jc w:val="both"/>
      </w:pPr>
      <w:r>
        <w:rPr>
          <w:rFonts w:ascii="Times New Roman" w:hAnsi="Times New Roman" w:eastAsia="Times New Roman"/>
          <w:b w:val="0"/>
          <w:i w:val="0"/>
          <w:sz w:val="21"/>
        </w:rPr>
        <w:t>Ekman, P. (1999). Basic emotions. In T. Dalgleish and M. Power (Eds.), Handbook of Cognition and Emotion (pp. 45-60). Wiley.</w:t>
      </w:r>
    </w:p>
    <w:p>
      <w:pPr>
        <w:spacing w:before="0" w:after="60" w:line="240" w:lineRule="auto"/>
        <w:ind w:hanging="283" w:left="283"/>
        <w:jc w:val="both"/>
      </w:pPr>
      <w:r>
        <w:rPr>
          <w:rFonts w:ascii="Times New Roman" w:hAnsi="Times New Roman" w:eastAsia="Times New Roman"/>
          <w:b w:val="0"/>
          <w:i w:val="0"/>
          <w:sz w:val="21"/>
        </w:rPr>
        <w:t>Google Research. (2023). MediaPipe FaceLandmarker: Real-time facial landmark detection and blendshape estimation. Google AI Blog.</w:t>
      </w:r>
    </w:p>
    <w:p>
      <w:pPr>
        <w:spacing w:before="0" w:after="60" w:line="240" w:lineRule="auto"/>
        <w:ind w:hanging="283" w:left="283"/>
        <w:jc w:val="both"/>
      </w:pPr>
      <w:r>
        <w:rPr>
          <w:rFonts w:ascii="Times New Roman" w:hAnsi="Times New Roman" w:eastAsia="Times New Roman"/>
          <w:b w:val="0"/>
          <w:i w:val="0"/>
          <w:sz w:val="21"/>
        </w:rPr>
        <w:t>Harari, G. M., Lane, N. D., Wang, R., Crosier, B. S., Campbell, A. T., and Gosling, S. D. (2016). Using smartphones to collect behavioral data in psychological science. Perspectives on Psychological Science, 11(6), 838-854.</w:t>
      </w:r>
    </w:p>
    <w:p>
      <w:pPr>
        <w:spacing w:before="0" w:after="60" w:line="240" w:lineRule="auto"/>
        <w:ind w:hanging="283" w:left="283"/>
        <w:jc w:val="both"/>
      </w:pPr>
      <w:r>
        <w:rPr>
          <w:rFonts w:ascii="Times New Roman" w:hAnsi="Times New Roman" w:eastAsia="Times New Roman"/>
          <w:b w:val="0"/>
          <w:i w:val="0"/>
          <w:sz w:val="21"/>
        </w:rPr>
        <w:t>Schuller, B. W. (2018). Speech emotion recognition: Two decades in a nutshell, benchmarks, and ongoing trends. Communications of the ACM, 61(5), 90-99.</w:t>
      </w:r>
    </w:p>
    <w:p>
      <w:pPr>
        <w:spacing w:before="0" w:after="60" w:line="240" w:lineRule="auto"/>
        <w:ind w:hanging="283" w:left="283"/>
        <w:jc w:val="both"/>
      </w:pPr>
      <w:r>
        <w:rPr>
          <w:rFonts w:ascii="Times New Roman" w:hAnsi="Times New Roman" w:eastAsia="Times New Roman"/>
          <w:b w:val="0"/>
          <w:i w:val="0"/>
          <w:sz w:val="21"/>
        </w:rPr>
        <w:t>Shiffman, S., Stone, A. A., and Hufford, M. R. (2008). Ecological momentary assessment. Annual Review of Clinical Psychology, 4, 1-32.</w:t>
      </w:r>
    </w:p>
    <w:p>
      <w:pPr>
        <w:spacing w:before="0" w:after="60" w:line="240" w:lineRule="auto"/>
        <w:ind w:hanging="283" w:left="283"/>
        <w:jc w:val="both"/>
      </w:pPr>
      <w:r>
        <w:rPr>
          <w:rFonts w:ascii="Times New Roman" w:hAnsi="Times New Roman" w:eastAsia="Times New Roman"/>
          <w:b w:val="0"/>
          <w:i w:val="0"/>
          <w:sz w:val="21"/>
        </w:rPr>
        <w:t>Torous, J., Nicholas, J., Larsen, M. E., Firth, J., and Christensen, H. (2018). Clinical review of user engagement with mental health smartphone apps. Evidence-Based Mental Health, 21(3), 116-119.</w:t>
      </w:r>
    </w:p>
    <w:p>
      <w:pPr>
        <w:spacing w:before="0" w:after="60" w:line="240" w:lineRule="auto"/>
        <w:ind w:hanging="283" w:left="283"/>
        <w:jc w:val="both"/>
      </w:pPr>
      <w:r>
        <w:rPr>
          <w:rFonts w:ascii="Times New Roman" w:hAnsi="Times New Roman" w:eastAsia="Times New Roman"/>
          <w:b w:val="0"/>
          <w:i w:val="0"/>
          <w:sz w:val="21"/>
        </w:rPr>
        <w:t>World Health Organization. (2022). World mental health report: Transforming mental health for all. WHO Press.</w:t>
      </w:r>
    </w:p>
    <w:sectPr w:rsidR="00FC693F" w:rsidRPr="0006063C" w:rsidSect="00034616">
      <w:type w:val="continuous"/>
      <w:pgSz w:w="11906" w:h="16838"/>
      <w:pgMar w:top="1440" w:right="1440" w:bottom="1440" w:left="1440" w:header="850" w:footer="85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