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help users observe emotional changes in daily life, but many existing tools rely mainly on active self-reporting. This approach is vulnerable to recall bias, low compliance, and missing records during periods of stress. This paper presents EmoScope, a native Android prototype that combines on-device facial expression analysis, speech-rate estimation, local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and a weighted scoring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and exportable JSON records. Functional evaluation shows stable 4 Hz facial inference, meaningful score changes across expression conditions, correct trend classification on synthetic datasets, and rapid SOS confirmation flow. The study suggests that privacy-preserving multimodal sensing can improve the continuity of mobile emotion tracking, while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Although professional diagnosis and therapy are essential, many people face barriers such as cost, stigma, geographic distance, and insufficient access to trained professionals. For this reason, mobile mental wellness tools have become important supplements for daily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common weakness of many mood-tracking applications is their dependence on active self-report. Users must remember their recent feelings, select a mood label, and often write a note. This creates two problems. First, self-reports can be affected by recall bias and social desirability. Second, the users who most need support may be least willing to record their mood when they are anxious, tired, or depressed. Ecological momentary assessment can reduce some memory bias, but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provides possible ways to supplement self-report with sensed signals. Facial expression analysis is supported by a long research tradition, including Ekman's work on basic emotions and facial action units (Ekman, 1999). Modern mobile frameworks can extract dense facial landmarks and blendshape coefficients in real time. Voice is another useful channel because speech rate and prosodic patterns are related to emotional arousal (Schuller, 2018). These signals cannot replace professional mental health assessment, but they can help create more continuous records of everyday emotion.</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local 30-day memory engine, and a user-confirmed SOS mechanism.</w:t>
      </w:r>
    </w:p>
    <w:p>
      <w:pPr>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Google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then converted into a wellness score from 0 to 100. Positive and calm states receive higher weights, while fear, anger, disgust, sadness, anxiety, and fatigue receive lower weights. The score is designed as a user-facing reflection index,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and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successfully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pacing w:before="0" w:after="60" w:line="240" w:lineRule="auto"/>
        <w:ind w:firstLine="283"/>
        <w:jc w:val="both"/>
      </w:pPr>
      <w:r>
        <w:rPr>
          <w:rFonts w:ascii="Times New Roman" w:hAnsi="Times New Roman" w:eastAsia="Times New Roman"/>
          <w:b w:val="0"/>
          <w:i w:val="0"/>
          <w:sz w:val="21"/>
        </w:rPr>
        <w:t>Voice analysis correctly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 These results support the technical feasibility of the proposed mobile workflow.</w:t>
      </w:r>
    </w:p>
    <w:p>
      <w:pPr>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and longitudinal summaries. Further clinical and cross-demographic validation is required before stronger claims can be made about mental health outcomes.</w:t>
      </w:r>
    </w:p>
    <w:p>
      <w:pPr>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