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keepNext/>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keepNext/>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616000" cy="2745600"/>
            <wp:docPr id="1" name="Picture 1"/>
            <wp:cNvGraphicFramePr>
              <a:graphicFrameLocks noChangeAspect="1"/>
            </wp:cNvGraphicFramePr>
            <a:graphic>
              <a:graphicData uri="http://schemas.openxmlformats.org/drawingml/2006/picture">
                <pic:pic>
                  <pic:nvPicPr>
                    <pic:cNvPr id="0" name="_emoscope_architecture_v5.png"/>
                    <pic:cNvPicPr/>
                  </pic:nvPicPr>
                  <pic:blipFill>
                    <a:blip r:embed="rId9"/>
                    <a:stretch>
                      <a:fillRect/>
                    </a:stretch>
                  </pic:blipFill>
                  <pic:spPr>
                    <a:xfrm>
                      <a:off x="0" y="0"/>
                      <a:ext cx="5616000" cy="2745600"/>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1 System architecture of EmoScope's multimodal emotion pipeline.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keepNext/>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ectPr>
          <w:type w:val="continuous"/>
          <w:pgSz w:w="11906" w:h="16838"/>
          <w:pgMar w:top="1440" w:right="1440" w:bottom="1440" w:left="1440" w:header="850" w:footer="850" w:gutter="0"/>
          <w:cols w:space="720" w:num="2"/>
          <w:docGrid w:linePitch="360"/>
        </w:sectPr>
      </w:pPr>
    </w:p>
    <w:p>
      <w:pPr>
        <w:spacing w:before="120" w:after="60" w:line="240" w:lineRule="auto"/>
        <w:jc w:val="center"/>
      </w:pPr>
      <w:r>
        <w:rPr>
          <w:rFonts w:ascii="Times New Roman" w:hAnsi="Times New Roman" w:eastAsia="Times New Roman"/>
          <w:b/>
          <w:i w:val="0"/>
          <w:sz w:val="18"/>
        </w:rPr>
        <w:t>Table 1 Functional evaluation of the EmoScope prototype</w:t>
      </w:r>
    </w:p>
    <w:tbl>
      <w:tblPr>
        <w:tblW w:type="dxa" w:w="9000"/>
        <w:jc w:val="center"/>
        <w:tblLayout w:type="fixed"/>
        <w:tblLook w:firstColumn="1" w:firstRow="1" w:lastColumn="0" w:lastRow="0" w:noHBand="0" w:noVBand="1" w:val="04A0"/>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Pr>
      <w:tblGrid>
        <w:gridCol w:w="4513"/>
        <w:gridCol w:w="4513"/>
      </w:tblGrid>
      <w:tr>
        <w:tc>
          <w:tcPr>
            <w:tcW w:type="dxa" w:w="2300"/>
            <w:vAlign w:val="center"/>
            <w:shd w:fill="EAEAEA"/>
          </w:tcPr>
          <w:p>
            <w:pPr>
              <w:spacing w:before="0" w:after="0" w:line="240" w:lineRule="auto"/>
            </w:pPr>
            <w:r>
              <w:rPr>
                <w:rFonts w:ascii="Times New Roman" w:hAnsi="Times New Roman" w:eastAsia="Times New Roman"/>
                <w:b/>
                <w:i w:val="0"/>
                <w:sz w:val="19"/>
              </w:rPr>
              <w:t>Dimension</w:t>
            </w:r>
          </w:p>
        </w:tc>
        <w:tc>
          <w:tcPr>
            <w:tcW w:type="dxa" w:w="6700"/>
            <w:vAlign w:val="center"/>
            <w:shd w:fill="EAEAEA"/>
          </w:tcPr>
          <w:p>
            <w:pPr>
              <w:spacing w:before="0" w:after="0" w:line="240" w:lineRule="auto"/>
            </w:pPr>
            <w:r>
              <w:rPr>
                <w:rFonts w:ascii="Times New Roman" w:hAnsi="Times New Roman" w:eastAsia="Times New Roman"/>
                <w:b/>
                <w:i w:val="0"/>
                <w:sz w:val="19"/>
              </w:rPr>
              <w:t>Functional evidence</w:t>
            </w:r>
          </w:p>
        </w:tc>
      </w:tr>
      <w:tr>
        <w:tc>
          <w:tcPr>
            <w:tcW w:type="dxa" w:w="2300"/>
            <w:vAlign w:val="center"/>
          </w:tcPr>
          <w:p>
            <w:pPr>
              <w:spacing w:before="0" w:after="0" w:line="240" w:lineRule="auto"/>
            </w:pPr>
            <w:r>
              <w:rPr>
                <w:rFonts w:ascii="Times New Roman" w:hAnsi="Times New Roman" w:eastAsia="Times New Roman"/>
                <w:b w:val="0"/>
                <w:i w:val="0"/>
                <w:sz w:val="18"/>
              </w:rPr>
              <w:t>Real-time sensing</w:t>
            </w:r>
          </w:p>
        </w:tc>
        <w:tc>
          <w:tcPr>
            <w:tcW w:type="dxa" w:w="6700"/>
            <w:vAlign w:val="center"/>
          </w:tcPr>
          <w:p>
            <w:pPr>
              <w:spacing w:before="0" w:after="0" w:line="240" w:lineRule="auto"/>
            </w:pPr>
            <w:r>
              <w:rPr>
                <w:rFonts w:ascii="Times New Roman" w:hAnsi="Times New Roman" w:eastAsia="Times New Roman"/>
                <w:b w:val="0"/>
                <w:i w:val="0"/>
                <w:sz w:val="18"/>
              </w:rPr>
              <w:t>4 Hz facial inference; EWMA reduced frame jitter to about 3-5 percentage points.</w:t>
            </w:r>
          </w:p>
        </w:tc>
      </w:tr>
      <w:tr>
        <w:tc>
          <w:tcPr>
            <w:tcW w:type="dxa" w:w="2300"/>
            <w:vAlign w:val="center"/>
          </w:tcPr>
          <w:p>
            <w:pPr>
              <w:spacing w:before="0" w:after="0" w:line="240" w:lineRule="auto"/>
            </w:pPr>
            <w:r>
              <w:rPr>
                <w:rFonts w:ascii="Times New Roman" w:hAnsi="Times New Roman" w:eastAsia="Times New Roman"/>
                <w:b w:val="0"/>
                <w:i w:val="0"/>
                <w:sz w:val="18"/>
              </w:rPr>
              <w:t>Emotion scoring</w:t>
            </w:r>
          </w:p>
        </w:tc>
        <w:tc>
          <w:tcPr>
            <w:tcW w:type="dxa" w:w="6700"/>
            <w:vAlign w:val="center"/>
          </w:tcPr>
          <w:p>
            <w:pPr>
              <w:spacing w:before="0" w:after="0" w:line="240" w:lineRule="auto"/>
            </w:pPr>
            <w:r>
              <w:rPr>
                <w:rFonts w:ascii="Times New Roman" w:hAnsi="Times New Roman" w:eastAsia="Times New Roman"/>
                <w:b w:val="0"/>
                <w:i w:val="0"/>
                <w:sz w:val="18"/>
              </w:rPr>
              <w:t>More than 40-point score range between joy-dominant and anxiety-dominant tests.</w:t>
            </w:r>
          </w:p>
        </w:tc>
      </w:tr>
      <w:tr>
        <w:tc>
          <w:tcPr>
            <w:tcW w:type="dxa" w:w="2300"/>
            <w:vAlign w:val="center"/>
          </w:tcPr>
          <w:p>
            <w:pPr>
              <w:spacing w:before="0" w:after="0" w:line="240" w:lineRule="auto"/>
            </w:pPr>
            <w:r>
              <w:rPr>
                <w:rFonts w:ascii="Times New Roman" w:hAnsi="Times New Roman" w:eastAsia="Times New Roman"/>
                <w:b w:val="0"/>
                <w:i w:val="0"/>
                <w:sz w:val="18"/>
              </w:rPr>
              <w:t>Memory analytics</w:t>
            </w:r>
          </w:p>
        </w:tc>
        <w:tc>
          <w:tcPr>
            <w:tcW w:type="dxa" w:w="6700"/>
            <w:vAlign w:val="center"/>
          </w:tcPr>
          <w:p>
            <w:pPr>
              <w:spacing w:before="0" w:after="0" w:line="240" w:lineRule="auto"/>
            </w:pPr>
            <w:r>
              <w:rPr>
                <w:rFonts w:ascii="Times New Roman" w:hAnsi="Times New Roman" w:eastAsia="Times New Roman"/>
                <w:b w:val="0"/>
                <w:i w:val="0"/>
                <w:sz w:val="18"/>
              </w:rPr>
              <w:t>Ten-emotion regex reached 100 percent extraction accuracy on synthetic records.</w:t>
            </w:r>
          </w:p>
        </w:tc>
      </w:tr>
      <w:tr>
        <w:tc>
          <w:tcPr>
            <w:tcW w:type="dxa" w:w="2300"/>
            <w:vAlign w:val="center"/>
          </w:tcPr>
          <w:p>
            <w:pPr>
              <w:spacing w:before="0" w:after="0" w:line="240" w:lineRule="auto"/>
            </w:pPr>
            <w:r>
              <w:rPr>
                <w:rFonts w:ascii="Times New Roman" w:hAnsi="Times New Roman" w:eastAsia="Times New Roman"/>
                <w:b w:val="0"/>
                <w:i w:val="0"/>
                <w:sz w:val="18"/>
              </w:rPr>
              <w:t>Safety workflow</w:t>
            </w:r>
          </w:p>
        </w:tc>
        <w:tc>
          <w:tcPr>
            <w:tcW w:type="dxa" w:w="6700"/>
            <w:vAlign w:val="center"/>
          </w:tcPr>
          <w:p>
            <w:pPr>
              <w:spacing w:before="0" w:after="0" w:line="240" w:lineRule="auto"/>
            </w:pPr>
            <w:r>
              <w:rPr>
                <w:rFonts w:ascii="Times New Roman" w:hAnsi="Times New Roman" w:eastAsia="Times New Roman"/>
                <w:b w:val="0"/>
                <w:i w:val="0"/>
                <w:sz w:val="18"/>
              </w:rPr>
              <w:t>Manual SOS confirmation opened in under 0.5 seconds; shake trigger in 1-2 seconds.</w:t>
            </w:r>
          </w:p>
        </w:tc>
      </w:tr>
    </w:tbl>
    <w:p>
      <w:pPr>
        <w:spacing w:before="40" w:after="160" w:line="240" w:lineRule="auto"/>
        <w:jc w:val="center"/>
      </w:pPr>
      <w:r>
        <w:rPr>
          <w:rFonts w:ascii="Times New Roman" w:hAnsi="Times New Roman" w:eastAsia="Times New Roman"/>
          <w:b w:val="0"/>
          <w:i/>
          <w:sz w:val="17"/>
        </w:rPr>
        <w:t>Note. These results describe engineering validation, not clinical diagnosis.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14359"/>
            <wp:docPr id="2" name="Picture 2"/>
            <wp:cNvGraphicFramePr>
              <a:graphicFrameLocks noChangeAspect="1"/>
            </wp:cNvGraphicFramePr>
            <a:graphic>
              <a:graphicData uri="http://schemas.openxmlformats.org/drawingml/2006/picture">
                <pic:pic>
                  <pic:nvPicPr>
                    <pic:cNvPr id="0" name="_emoscope_ui_flow_v5.png"/>
                    <pic:cNvPicPr/>
                  </pic:nvPicPr>
                  <pic:blipFill>
                    <a:blip r:embed="rId10"/>
                    <a:stretch>
                      <a:fillRect/>
                    </a:stretch>
                  </pic:blipFill>
                  <pic:spPr>
                    <a:xfrm>
                      <a:off x="0" y="0"/>
                      <a:ext cx="5472000" cy="401435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2 Interface overview of the home radar, wellness workshop, and emotion history screens.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keepNext/>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14359"/>
            <wp:docPr id="3" name="Picture 3"/>
            <wp:cNvGraphicFramePr>
              <a:graphicFrameLocks noChangeAspect="1"/>
            </wp:cNvGraphicFramePr>
            <a:graphic>
              <a:graphicData uri="http://schemas.openxmlformats.org/drawingml/2006/picture">
                <pic:pic>
                  <pic:nvPicPr>
                    <pic:cNvPr id="0" name="_emoscope_ui_support_v5.png"/>
                    <pic:cNvPicPr/>
                  </pic:nvPicPr>
                  <pic:blipFill>
                    <a:blip r:embed="rId11"/>
                    <a:stretch>
                      <a:fillRect/>
                    </a:stretch>
                  </pic:blipFill>
                  <pic:spPr>
                    <a:xfrm>
                      <a:off x="0" y="0"/>
                      <a:ext cx="5472000" cy="401435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3 Support, growth, and privacy-control interfaces in EmoScope.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keepNext/>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keepNext/>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