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A52FA7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/>
        <w:ind w:left="0" w:right="0"/>
        <w:jc w:val="both"/>
        <w:textAlignment w:val="auto"/>
        <w:outlineLvl w:val="0"/>
        <w:rPr>
          <w:rFonts w:hint="eastAsia" w:ascii="Times New Roman" w:hAnsi="Times New Roman" w:eastAsia="黑体" w:cs="黑体"/>
          <w:color w:val="000000"/>
          <w:kern w:val="2"/>
          <w:sz w:val="21"/>
          <w:szCs w:val="24"/>
          <w:lang w:val="en-US" w:eastAsia="zh-CN" w:bidi="ar"/>
        </w:rPr>
      </w:pPr>
      <w:r>
        <w:rPr>
          <w:rFonts w:hint="eastAsia" w:ascii="Times New Roman" w:hAnsi="Times New Roman" w:eastAsia="黑体" w:cs="Times New Roman"/>
          <w:color w:val="000000"/>
          <w:kern w:val="2"/>
          <w:sz w:val="21"/>
          <w:szCs w:val="24"/>
          <w:lang w:val="en-US" w:eastAsia="zh-CN" w:bidi="ar"/>
        </w:rPr>
        <w:t>一、</w:t>
      </w:r>
      <w:r>
        <w:rPr>
          <w:rFonts w:hint="default" w:ascii="Times New Roman" w:hAnsi="Times New Roman" w:eastAsia="黑体" w:cs="Times New Roman"/>
          <w:color w:val="000000"/>
          <w:kern w:val="2"/>
          <w:sz w:val="21"/>
          <w:szCs w:val="24"/>
          <w:lang w:val="en-US" w:eastAsia="zh-CN" w:bidi="ar"/>
        </w:rPr>
        <w:t>CNN</w:t>
      </w:r>
      <w:r>
        <w:rPr>
          <w:rFonts w:hint="eastAsia" w:ascii="Times New Roman" w:hAnsi="Times New Roman" w:eastAsia="黑体" w:cs="黑体"/>
          <w:color w:val="000000"/>
          <w:kern w:val="2"/>
          <w:sz w:val="21"/>
          <w:szCs w:val="24"/>
          <w:lang w:val="en-US" w:eastAsia="zh-CN" w:bidi="ar"/>
        </w:rPr>
        <w:t>缺陷</w:t>
      </w:r>
      <w:r>
        <w:rPr>
          <w:rFonts w:hint="eastAsia" w:ascii="Times New Roman" w:hAnsi="Times New Roman" w:eastAsia="黑体" w:cs="黑体"/>
          <w:color w:val="000000"/>
          <w:kern w:val="2"/>
          <w:sz w:val="21"/>
          <w:szCs w:val="21"/>
          <w:lang w:val="en-US" w:eastAsia="zh-CN" w:bidi="ar"/>
        </w:rPr>
        <w:t>类别的具体缺陷类型</w:t>
      </w:r>
    </w:p>
    <w:p w14:paraId="2906381D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/>
        <w:ind w:left="0" w:right="0"/>
        <w:jc w:val="center"/>
        <w:textAlignment w:val="auto"/>
        <w:rPr>
          <w:rFonts w:hint="default" w:ascii="Times New Roman" w:hAnsi="Times New Roman" w:eastAsia="黑体" w:cs="Times New Roman"/>
          <w:color w:val="000000"/>
          <w:sz w:val="18"/>
          <w:szCs w:val="18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lang w:val="en-US" w:eastAsia="zh-CN" w:bidi="ar"/>
        </w:rPr>
        <w:t>表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lang w:val="en-US" w:eastAsia="zh-CN" w:bidi="ar"/>
        </w:rPr>
        <w:t>1 CNN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18"/>
          <w:lang w:val="en-US" w:eastAsia="zh-CN" w:bidi="ar"/>
        </w:rPr>
        <w:t>类别的具体缺陷类型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9"/>
        <w:gridCol w:w="8303"/>
      </w:tblGrid>
      <w:tr w14:paraId="4D2E1F39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</w:tblPrEx>
        <w:trPr>
          <w:trHeight w:val="291" w:hRule="atLeast"/>
          <w:jc w:val="center"/>
        </w:trPr>
        <w:tc>
          <w:tcPr>
            <w:tcW w:w="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51FE78C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Calibri" w:hAnsi="Calibri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缺陷标识符</w:t>
            </w:r>
          </w:p>
        </w:tc>
        <w:tc>
          <w:tcPr>
            <w:tcW w:w="435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7C5F36C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具体缺陷类型</w:t>
            </w:r>
          </w:p>
        </w:tc>
      </w:tr>
      <w:tr w14:paraId="522ECAEA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40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AC4D83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ϒ</w:t>
            </w:r>
          </w:p>
        </w:tc>
        <w:tc>
          <w:tcPr>
            <w:tcW w:w="435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627471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超参数调优不佳；学习率设置不佳；数据分批处理错误；训练轮数设置不佳；批次大小设置不佳；数据分批处理实现错误；正则化缺失（损失与权重）</w:t>
            </w:r>
          </w:p>
        </w:tc>
      </w:tr>
      <w:tr w14:paraId="0059CDC0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1821FA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Ϝ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F14A08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损失函数计算错误；未将无效值掩码为零；损失函数选择错误；缺少损失函数</w:t>
            </w:r>
          </w:p>
        </w:tc>
      </w:tr>
      <w:tr w14:paraId="0B0A37E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50DA5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Э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FCE6CA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缺少验证集；性能指标选择错误；训练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/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测试数据分割错误</w:t>
            </w:r>
          </w:p>
        </w:tc>
      </w:tr>
      <w:tr w14:paraId="2CD98097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1E7D2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ϖ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024A32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缺少预处理步骤（子采样、归一化等）；错误的预处理步骤（像素编码、填充等）</w:t>
            </w:r>
          </w:p>
        </w:tc>
      </w:tr>
      <w:tr w14:paraId="2AEA59CD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0C09A2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Ϙ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05E17F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优化函数错误；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Adam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优化器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epsilon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值过低</w:t>
            </w:r>
          </w:p>
        </w:tc>
      </w:tr>
      <w:tr w14:paraId="73BB1053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3BCD39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Л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BC8EBC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训练数据标签错误；特征选择不当；训练数据失衡；训练数据不足；训练数据质量低下；训练数据中输出类别重叠；输出类别过多；特征取值范围过窄；丢弃重要特征</w:t>
            </w:r>
          </w:p>
        </w:tc>
      </w:tr>
      <w:tr w14:paraId="5F87F24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83C791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Φ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DADE8B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内存资源管理不当；引用不存在的检查点；模型过大无法装入可用内存；缺少数据增强；数据增强冗余</w:t>
            </w:r>
          </w:p>
        </w:tc>
      </w:tr>
      <w:tr w14:paraId="1654A72B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3830B6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Ψ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481A7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模型初始化错误；权重初始化错误；模型选择错误；网络架构错误；次优网络结构；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CNN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多重初始化</w:t>
            </w:r>
          </w:p>
        </w:tc>
      </w:tr>
      <w:tr w14:paraId="0F14567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484F2F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421587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缺失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Dropout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层；缺失归一化层；缺失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softmax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层；冗余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softmax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层；错误的层类型；缺失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flatten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层；缺失的稠密层；缺失平均池化层；错误的池化层类型</w:t>
            </w:r>
          </w:p>
        </w:tc>
      </w:tr>
      <w:tr w14:paraId="658F421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8FCDE9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ϛ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3D922D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线性层输入样本数量错误；输入形状定义错误；输出形状定义错误；输入与输出形状定义错误；卷积层滤波器尺寸错误；层中需要偏置项；层中神经元数量不佳；卷积层池化数量与类型错误；层维度不匹配</w:t>
            </w:r>
          </w:p>
        </w:tc>
      </w:tr>
      <w:tr w14:paraId="01E4A41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34B48B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Ё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C6DCED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激活函数类型错误；缺少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softmax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激活函数；缺少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relu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激活函数</w:t>
            </w:r>
          </w:p>
        </w:tc>
      </w:tr>
      <w:tr w14:paraId="3052436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31F015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§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C48C42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输入格式错误；传递的权重格式错误；张量类型不兼容；方法输入数据形状错误；层输入数据形状错误；输入数据形状错误；方法输入数据类型错误；层输入数据类型错误；输入数据类型错误</w:t>
            </w:r>
          </w:p>
        </w:tc>
      </w:tr>
      <w:tr w14:paraId="3083A6FD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FECABB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æ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9C020F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张量形状错误（缺少挤压操作、索引错误、输出填充错误和其他原因）；张量形状不匹配</w:t>
            </w:r>
          </w:p>
        </w:tc>
      </w:tr>
      <w:tr w14:paraId="27F2DBB7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56CAEB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730148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已弃用的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API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；图像解码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API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使用错误；占位符恢复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API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使用错误；缺少参数作用域；数据洗牌操作位置错误；缺少全局变量初始化；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API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使用错误；缺少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API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调用；操作图引用错误</w:t>
            </w:r>
          </w:p>
        </w:tc>
      </w:tr>
      <w:tr w14:paraId="43A5625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90F106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И</w:t>
            </w:r>
          </w:p>
        </w:tc>
        <w:tc>
          <w:tcPr>
            <w:tcW w:w="435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4E62E1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数据未传输到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GPU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；错误的张量传输到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GPU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GPU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张量被误用于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CPU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操作；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GPU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端数据并行性错误；对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CUDA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张量调用不支持的操作；在训练或测试循环内转换为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CUDA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张量；错误实现的数据传输函数</w:t>
            </w:r>
          </w:p>
        </w:tc>
      </w:tr>
    </w:tbl>
    <w:p w14:paraId="7358A231">
      <w:pPr>
        <w:rPr>
          <w:rFonts w:hint="eastAsia"/>
          <w:lang w:val="en-US" w:eastAsia="zh-CN"/>
        </w:rPr>
      </w:pPr>
    </w:p>
    <w:p w14:paraId="5EE3882A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textAlignment w:val="auto"/>
        <w:outlineLvl w:val="0"/>
        <w:rPr>
          <w:rFonts w:hint="eastAsia" w:ascii="黑体" w:hAnsi="黑体" w:eastAsia="黑体" w:cs="黑体"/>
          <w:b w:val="0"/>
          <w:bCs w:val="0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黑体" w:hAnsi="黑体" w:eastAsia="黑体" w:cs="黑体"/>
          <w:b w:val="0"/>
          <w:bCs w:val="0"/>
          <w:color w:val="000000"/>
          <w:kern w:val="2"/>
          <w:sz w:val="21"/>
          <w:szCs w:val="21"/>
          <w:lang w:val="en-US" w:eastAsia="zh-CN" w:bidi="ar"/>
        </w:rPr>
        <w:t>二、非线性风险调节系数敏感性分析</w:t>
      </w:r>
    </w:p>
    <w:p w14:paraId="1DAE0A95">
      <w:pPr>
        <w:ind w:firstLine="420" w:firstLineChars="200"/>
        <w:rPr>
          <w:rFonts w:hint="default" w:ascii="Times New Roman" w:hAnsi="Times New Roman" w:eastAsia="宋体" w:cs="Times New Roman"/>
          <w:sz w:val="21"/>
          <w:szCs w:val="21"/>
        </w:rPr>
      </w:pPr>
      <w:r>
        <w:rPr>
          <w:rFonts w:hint="default" w:ascii="Times New Roman" w:hAnsi="Times New Roman" w:eastAsia="宋体" w:cs="Times New Roman"/>
          <w:sz w:val="21"/>
          <w:szCs w:val="21"/>
        </w:rPr>
        <w:t>为分析非线性风险调节系数λ对CNN可信度的影响，以2.3节多缺陷场景为例，保持可信属性权重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与</w:t>
      </w:r>
      <w:r>
        <w:rPr>
          <w:rFonts w:hint="default" w:ascii="Times New Roman" w:hAnsi="Times New Roman" w:eastAsia="宋体" w:cs="Times New Roman"/>
          <w:sz w:val="21"/>
          <w:szCs w:val="21"/>
        </w:rPr>
        <w:t>可信属性缺陷值不变，设置控制参数f=10，分别取λ=0、0.1、0.2、0.3和0.5进行敏感性分析。</w:t>
      </w:r>
    </w:p>
    <w:p w14:paraId="361BDF8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宋体" w:cs="Times New Roman"/>
          <w:sz w:val="21"/>
          <w:szCs w:val="21"/>
        </w:rPr>
      </w:pPr>
      <w:r>
        <w:rPr>
          <w:rFonts w:hint="default" w:ascii="Times New Roman" w:hAnsi="Times New Roman" w:eastAsia="宋体" w:cs="Times New Roman"/>
          <w:sz w:val="21"/>
          <w:szCs w:val="21"/>
        </w:rPr>
        <w:t>表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sz w:val="21"/>
          <w:szCs w:val="21"/>
        </w:rPr>
        <w:t xml:space="preserve"> 不同参数下的可信属性值对比</w:t>
      </w:r>
    </w:p>
    <w:tbl>
      <w:tblPr>
        <w:tblStyle w:val="8"/>
        <w:tblW w:w="4997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4"/>
        <w:gridCol w:w="1203"/>
        <w:gridCol w:w="1046"/>
        <w:gridCol w:w="1208"/>
        <w:gridCol w:w="1515"/>
        <w:gridCol w:w="1515"/>
        <w:gridCol w:w="1515"/>
      </w:tblGrid>
      <w:tr w14:paraId="5E6252C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4" w:type="dxa"/>
            <w:tcBorders>
              <w:bottom w:val="single" w:color="auto" w:sz="4" w:space="0"/>
            </w:tcBorders>
            <w:vAlign w:val="center"/>
          </w:tcPr>
          <w:p w14:paraId="4E753EC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可信属性</w:t>
            </w:r>
          </w:p>
        </w:tc>
        <w:tc>
          <w:tcPr>
            <w:tcW w:w="1203" w:type="dxa"/>
            <w:tcBorders>
              <w:bottom w:val="single" w:color="auto" w:sz="4" w:space="0"/>
            </w:tcBorders>
            <w:vAlign w:val="center"/>
          </w:tcPr>
          <w:p w14:paraId="3D09E18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缺陷值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18"/>
                <w:szCs w:val="18"/>
                <w:lang w:eastAsia="zh-CN"/>
              </w:rPr>
              <w:t>（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18"/>
                <w:szCs w:val="18"/>
                <w:lang w:val="en-US" w:eastAsia="zh-CN"/>
              </w:rPr>
              <w:t>新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18"/>
                <w:szCs w:val="18"/>
                <w:lang w:eastAsia="zh-CN"/>
              </w:rPr>
              <w:t>）</w:t>
            </w:r>
          </w:p>
        </w:tc>
        <w:tc>
          <w:tcPr>
            <w:tcW w:w="1046" w:type="dxa"/>
            <w:tcBorders>
              <w:bottom w:val="single" w:color="auto" w:sz="4" w:space="0"/>
            </w:tcBorders>
            <w:vAlign w:val="center"/>
          </w:tcPr>
          <w:p w14:paraId="1A544748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λ=0</w:t>
            </w:r>
          </w:p>
        </w:tc>
        <w:tc>
          <w:tcPr>
            <w:tcW w:w="1208" w:type="dxa"/>
            <w:tcBorders>
              <w:bottom w:val="single" w:color="auto" w:sz="4" w:space="0"/>
            </w:tcBorders>
            <w:vAlign w:val="center"/>
          </w:tcPr>
          <w:p w14:paraId="14F1D58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λ=0.1</w:t>
            </w:r>
          </w:p>
        </w:tc>
        <w:tc>
          <w:tcPr>
            <w:tcW w:w="1515" w:type="dxa"/>
            <w:tcBorders>
              <w:bottom w:val="single" w:color="auto" w:sz="4" w:space="0"/>
            </w:tcBorders>
            <w:vAlign w:val="center"/>
          </w:tcPr>
          <w:p w14:paraId="6806326A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λ=0.2</w:t>
            </w:r>
          </w:p>
        </w:tc>
        <w:tc>
          <w:tcPr>
            <w:tcW w:w="1515" w:type="dxa"/>
            <w:tcBorders>
              <w:bottom w:val="single" w:color="auto" w:sz="4" w:space="0"/>
            </w:tcBorders>
            <w:vAlign w:val="center"/>
          </w:tcPr>
          <w:p w14:paraId="6A3198B7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λ=0.3</w:t>
            </w:r>
          </w:p>
        </w:tc>
        <w:tc>
          <w:tcPr>
            <w:tcW w:w="1515" w:type="dxa"/>
            <w:tcBorders>
              <w:bottom w:val="single" w:color="auto" w:sz="4" w:space="0"/>
            </w:tcBorders>
            <w:vAlign w:val="center"/>
          </w:tcPr>
          <w:p w14:paraId="7DE2F944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λ=0.5</w:t>
            </w:r>
          </w:p>
        </w:tc>
      </w:tr>
      <w:tr w14:paraId="309A9B4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4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96BDADC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安全性</w:t>
            </w:r>
          </w:p>
        </w:tc>
        <w:tc>
          <w:tcPr>
            <w:tcW w:w="1203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545C2D4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18"/>
                <w:szCs w:val="18"/>
                <w:lang w:val="en-US" w:eastAsia="zh-CN"/>
              </w:rPr>
              <w:t>3.000</w:t>
            </w:r>
          </w:p>
        </w:tc>
        <w:tc>
          <w:tcPr>
            <w:tcW w:w="1046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6890268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0.741</w:t>
            </w:r>
          </w:p>
        </w:tc>
        <w:tc>
          <w:tcPr>
            <w:tcW w:w="1208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6AB6A0C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0.734</w:t>
            </w:r>
          </w:p>
        </w:tc>
        <w:tc>
          <w:tcPr>
            <w:tcW w:w="1515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EFA6CAC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0.728</w:t>
            </w:r>
          </w:p>
        </w:tc>
        <w:tc>
          <w:tcPr>
            <w:tcW w:w="1515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B640AB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0.721</w:t>
            </w:r>
          </w:p>
        </w:tc>
        <w:tc>
          <w:tcPr>
            <w:tcW w:w="1515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5E1D4FA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0.708</w:t>
            </w:r>
          </w:p>
        </w:tc>
      </w:tr>
      <w:tr w14:paraId="79F3061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098FC311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正确性</w:t>
            </w:r>
          </w:p>
        </w:tc>
        <w:tc>
          <w:tcPr>
            <w:tcW w:w="1203" w:type="dxa"/>
            <w:tcBorders>
              <w:tl2br w:val="nil"/>
              <w:tr2bl w:val="nil"/>
            </w:tcBorders>
            <w:vAlign w:val="center"/>
          </w:tcPr>
          <w:p w14:paraId="202B9D4E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18"/>
                <w:szCs w:val="18"/>
                <w:lang w:val="en-US" w:eastAsia="zh-CN"/>
              </w:rPr>
              <w:t>7.732</w:t>
            </w:r>
          </w:p>
        </w:tc>
        <w:tc>
          <w:tcPr>
            <w:tcW w:w="1046" w:type="dxa"/>
            <w:tcBorders>
              <w:tl2br w:val="nil"/>
              <w:tr2bl w:val="nil"/>
            </w:tcBorders>
            <w:vAlign w:val="center"/>
          </w:tcPr>
          <w:p w14:paraId="45F49620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0.462</w:t>
            </w:r>
          </w:p>
        </w:tc>
        <w:tc>
          <w:tcPr>
            <w:tcW w:w="1208" w:type="dxa"/>
            <w:tcBorders>
              <w:tl2br w:val="nil"/>
              <w:tr2bl w:val="nil"/>
            </w:tcBorders>
            <w:vAlign w:val="center"/>
          </w:tcPr>
          <w:p w14:paraId="4055F957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0.435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4F9639E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0.410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5F510431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0.386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1ABD7EAA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0.342</w:t>
            </w:r>
          </w:p>
        </w:tc>
      </w:tr>
      <w:tr w14:paraId="64B2283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501D64FE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可靠性</w:t>
            </w:r>
          </w:p>
        </w:tc>
        <w:tc>
          <w:tcPr>
            <w:tcW w:w="1203" w:type="dxa"/>
            <w:tcBorders>
              <w:tl2br w:val="nil"/>
              <w:tr2bl w:val="nil"/>
            </w:tcBorders>
            <w:vAlign w:val="center"/>
          </w:tcPr>
          <w:p w14:paraId="5A611725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7.</w:t>
            </w:r>
            <w:r>
              <w:rPr>
                <w:rFonts w:hint="eastAsia" w:ascii="Times New Roman" w:hAnsi="Times New Roman" w:cs="Times New Roman"/>
                <w:sz w:val="18"/>
                <w:szCs w:val="18"/>
                <w:lang w:val="en-US" w:eastAsia="zh-CN"/>
              </w:rPr>
              <w:t>042</w:t>
            </w:r>
          </w:p>
        </w:tc>
        <w:tc>
          <w:tcPr>
            <w:tcW w:w="1046" w:type="dxa"/>
            <w:tcBorders>
              <w:tl2br w:val="nil"/>
              <w:tr2bl w:val="nil"/>
            </w:tcBorders>
            <w:vAlign w:val="center"/>
          </w:tcPr>
          <w:p w14:paraId="0FE023BF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0.495</w:t>
            </w:r>
          </w:p>
        </w:tc>
        <w:tc>
          <w:tcPr>
            <w:tcW w:w="1208" w:type="dxa"/>
            <w:tcBorders>
              <w:tl2br w:val="nil"/>
              <w:tr2bl w:val="nil"/>
            </w:tcBorders>
            <w:vAlign w:val="center"/>
          </w:tcPr>
          <w:p w14:paraId="21900D31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0.471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61CFA3DB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0.448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0F711EB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0.426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2325DB75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0.386</w:t>
            </w:r>
          </w:p>
        </w:tc>
      </w:tr>
      <w:tr w14:paraId="6AE3F04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6FAE08B0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抗风险性</w:t>
            </w:r>
          </w:p>
        </w:tc>
        <w:tc>
          <w:tcPr>
            <w:tcW w:w="1203" w:type="dxa"/>
            <w:tcBorders>
              <w:tl2br w:val="nil"/>
              <w:tr2bl w:val="nil"/>
            </w:tcBorders>
            <w:vAlign w:val="center"/>
          </w:tcPr>
          <w:p w14:paraId="52EB7B08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18"/>
                <w:szCs w:val="18"/>
                <w:lang w:val="en-US" w:eastAsia="zh-CN"/>
              </w:rPr>
              <w:t>5.332</w:t>
            </w:r>
          </w:p>
        </w:tc>
        <w:tc>
          <w:tcPr>
            <w:tcW w:w="1046" w:type="dxa"/>
            <w:tcBorders>
              <w:tl2br w:val="nil"/>
              <w:tr2bl w:val="nil"/>
            </w:tcBorders>
            <w:vAlign w:val="center"/>
          </w:tcPr>
          <w:p w14:paraId="2507589B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0.587</w:t>
            </w:r>
          </w:p>
        </w:tc>
        <w:tc>
          <w:tcPr>
            <w:tcW w:w="1208" w:type="dxa"/>
            <w:tcBorders>
              <w:tl2br w:val="nil"/>
              <w:tr2bl w:val="nil"/>
            </w:tcBorders>
            <w:vAlign w:val="center"/>
          </w:tcPr>
          <w:p w14:paraId="4146F9D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0.570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6C89411E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0.554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2D80CE8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0.539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7E8E658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0.509</w:t>
            </w:r>
          </w:p>
        </w:tc>
      </w:tr>
      <w:tr w14:paraId="5F43EB6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5DBBEA56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可用性</w:t>
            </w:r>
          </w:p>
        </w:tc>
        <w:tc>
          <w:tcPr>
            <w:tcW w:w="1203" w:type="dxa"/>
            <w:tcBorders>
              <w:tl2br w:val="nil"/>
              <w:tr2bl w:val="nil"/>
            </w:tcBorders>
            <w:vAlign w:val="center"/>
          </w:tcPr>
          <w:p w14:paraId="1ABAF138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18"/>
                <w:szCs w:val="18"/>
                <w:lang w:val="en-US" w:eastAsia="zh-CN"/>
              </w:rPr>
              <w:t>7.893</w:t>
            </w:r>
          </w:p>
        </w:tc>
        <w:tc>
          <w:tcPr>
            <w:tcW w:w="1046" w:type="dxa"/>
            <w:tcBorders>
              <w:tl2br w:val="nil"/>
              <w:tr2bl w:val="nil"/>
            </w:tcBorders>
            <w:vAlign w:val="center"/>
          </w:tcPr>
          <w:p w14:paraId="5D7DE8DE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0.454</w:t>
            </w:r>
          </w:p>
        </w:tc>
        <w:tc>
          <w:tcPr>
            <w:tcW w:w="1208" w:type="dxa"/>
            <w:tcBorders>
              <w:tl2br w:val="nil"/>
              <w:tr2bl w:val="nil"/>
            </w:tcBorders>
            <w:vAlign w:val="center"/>
          </w:tcPr>
          <w:p w14:paraId="3EC3631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0.427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584CEF1F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0.401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238B9FEB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0.377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20DD5D25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0.333</w:t>
            </w:r>
          </w:p>
        </w:tc>
      </w:tr>
      <w:tr w14:paraId="74FB8EE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29417FE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性能</w:t>
            </w:r>
          </w:p>
        </w:tc>
        <w:tc>
          <w:tcPr>
            <w:tcW w:w="1203" w:type="dxa"/>
            <w:tcBorders>
              <w:tl2br w:val="nil"/>
              <w:tr2bl w:val="nil"/>
            </w:tcBorders>
            <w:vAlign w:val="center"/>
          </w:tcPr>
          <w:p w14:paraId="13A1DC6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6.588</w:t>
            </w:r>
          </w:p>
        </w:tc>
        <w:tc>
          <w:tcPr>
            <w:tcW w:w="1046" w:type="dxa"/>
            <w:tcBorders>
              <w:tl2br w:val="nil"/>
              <w:tr2bl w:val="nil"/>
            </w:tcBorders>
            <w:vAlign w:val="center"/>
          </w:tcPr>
          <w:p w14:paraId="24E5037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0.517</w:t>
            </w:r>
          </w:p>
        </w:tc>
        <w:tc>
          <w:tcPr>
            <w:tcW w:w="1208" w:type="dxa"/>
            <w:tcBorders>
              <w:tl2br w:val="nil"/>
              <w:tr2bl w:val="nil"/>
            </w:tcBorders>
            <w:vAlign w:val="center"/>
          </w:tcPr>
          <w:p w14:paraId="30DBCC3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0.495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3E2136C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0.474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5B7A6D8E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0.454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60F6CDB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0.417</w:t>
            </w:r>
          </w:p>
        </w:tc>
      </w:tr>
    </w:tbl>
    <w:p w14:paraId="54B0C7B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由表2可知，随着λ增大，各可信属性值均呈下降趋势。其中，缺陷值较高的可用性和正确性下降较为明显，可靠性也表现出较明显的衰减，而安全性的变化相对较小。这表明非线性风险调节系数能够增强对高缺陷值属性的惩罚作用，使不同可信属性之间的风险差异更加明显。</w:t>
      </w:r>
    </w:p>
    <w:p w14:paraId="17B9C7B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</w:p>
    <w:p w14:paraId="38905160">
      <w:pPr>
        <w:ind w:firstLine="420" w:firstLineChars="200"/>
        <w:jc w:val="center"/>
        <w:rPr>
          <w:rFonts w:hint="default" w:ascii="Times New Roman" w:hAnsi="Times New Roman" w:eastAsia="宋体" w:cs="Times New Roman"/>
          <w:sz w:val="21"/>
          <w:szCs w:val="21"/>
        </w:rPr>
      </w:pPr>
    </w:p>
    <w:p w14:paraId="169EC2C2">
      <w:pPr>
        <w:ind w:firstLine="420" w:firstLineChars="200"/>
        <w:jc w:val="center"/>
        <w:rPr>
          <w:rFonts w:hint="default" w:ascii="Times New Roman" w:hAnsi="Times New Roman" w:eastAsia="宋体" w:cs="Times New Roman"/>
          <w:sz w:val="21"/>
          <w:szCs w:val="21"/>
        </w:rPr>
      </w:pPr>
    </w:p>
    <w:p w14:paraId="3051E9C6">
      <w:pPr>
        <w:ind w:firstLine="420" w:firstLineChars="200"/>
        <w:jc w:val="center"/>
        <w:rPr>
          <w:rFonts w:hint="default" w:ascii="Times New Roman" w:hAnsi="Times New Roman" w:eastAsia="宋体" w:cs="Times New Roman"/>
          <w:sz w:val="21"/>
          <w:szCs w:val="21"/>
        </w:rPr>
      </w:pPr>
    </w:p>
    <w:p w14:paraId="5FAA82DE">
      <w:pPr>
        <w:ind w:firstLine="420" w:firstLineChars="200"/>
        <w:jc w:val="center"/>
        <w:rPr>
          <w:rFonts w:hint="default" w:ascii="Times New Roman" w:hAnsi="Times New Roman" w:eastAsia="宋体" w:cs="Times New Roman"/>
          <w:sz w:val="21"/>
          <w:szCs w:val="21"/>
        </w:rPr>
      </w:pPr>
    </w:p>
    <w:p w14:paraId="3BCBA94B">
      <w:pPr>
        <w:ind w:firstLine="420" w:firstLineChars="200"/>
        <w:jc w:val="center"/>
        <w:rPr>
          <w:rFonts w:hint="default" w:ascii="Times New Roman" w:hAnsi="Times New Roman" w:eastAsia="宋体" w:cs="Times New Roman"/>
          <w:sz w:val="21"/>
          <w:szCs w:val="21"/>
        </w:rPr>
      </w:pPr>
      <w:r>
        <w:rPr>
          <w:rFonts w:hint="default" w:ascii="Times New Roman" w:hAnsi="Times New Roman" w:eastAsia="宋体" w:cs="Times New Roman"/>
          <w:sz w:val="21"/>
          <w:szCs w:val="21"/>
        </w:rPr>
        <w:t>表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sz w:val="21"/>
          <w:szCs w:val="21"/>
        </w:rPr>
        <w:t xml:space="preserve"> 不同λ取值下的CNN可信度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4"/>
        <w:gridCol w:w="3174"/>
        <w:gridCol w:w="3174"/>
      </w:tblGrid>
      <w:tr w14:paraId="4E3C0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4" w:type="dxa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5B07896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λ</w:t>
            </w:r>
          </w:p>
        </w:tc>
        <w:tc>
          <w:tcPr>
            <w:tcW w:w="3174" w:type="dxa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418DF3A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CNN可信度</w:t>
            </w:r>
          </w:p>
        </w:tc>
        <w:tc>
          <w:tcPr>
            <w:tcW w:w="3174" w:type="dxa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2F1FCA0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相较λ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lang w:val="en-US" w:eastAsia="zh-CN"/>
              </w:rPr>
              <w:t>=0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降低幅度</w:t>
            </w:r>
          </w:p>
        </w:tc>
      </w:tr>
      <w:tr w14:paraId="51469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4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248337B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</w:t>
            </w:r>
          </w:p>
        </w:tc>
        <w:tc>
          <w:tcPr>
            <w:tcW w:w="3174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6FED6E2B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0.53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20"/>
                <w:szCs w:val="20"/>
                <w:lang w:val="en-US" w:eastAsia="zh-CN"/>
              </w:rPr>
              <w:t>0</w:t>
            </w:r>
          </w:p>
        </w:tc>
        <w:tc>
          <w:tcPr>
            <w:tcW w:w="3174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6C88DD8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0%</w:t>
            </w:r>
          </w:p>
        </w:tc>
      </w:tr>
      <w:tr w14:paraId="2298AE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FCC8C4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0.1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6AF2E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0.5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20"/>
                <w:szCs w:val="20"/>
                <w:lang w:val="en-US" w:eastAsia="zh-CN"/>
              </w:rPr>
              <w:t>0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7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C41F1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4.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20"/>
                <w:szCs w:val="20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5%</w:t>
            </w:r>
          </w:p>
        </w:tc>
      </w:tr>
      <w:tr w14:paraId="27E7E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F0D284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0.2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0DA785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0.4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20"/>
                <w:szCs w:val="20"/>
                <w:lang w:val="en-US" w:eastAsia="zh-CN"/>
              </w:rPr>
              <w:t>8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6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912CF1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sz w:val="20"/>
                <w:szCs w:val="20"/>
                <w:lang w:val="en-US" w:eastAsia="zh-CN"/>
              </w:rPr>
              <w:t>8.31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%</w:t>
            </w:r>
          </w:p>
        </w:tc>
      </w:tr>
      <w:tr w14:paraId="6F709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239811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0.3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010FCF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0.4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20"/>
                <w:szCs w:val="20"/>
                <w:lang w:val="en-US" w:eastAsia="zh-CN"/>
              </w:rPr>
              <w:t>65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13BDB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1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20"/>
                <w:szCs w:val="20"/>
                <w:lang w:val="en-US" w:eastAsia="zh-CN"/>
              </w:rPr>
              <w:t>2.21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%</w:t>
            </w:r>
          </w:p>
        </w:tc>
      </w:tr>
      <w:tr w14:paraId="1F673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4" w:type="dxa"/>
            <w:tcBorders>
              <w:top w:val="nil"/>
              <w:left w:val="nil"/>
              <w:bottom w:val="single" w:color="auto" w:sz="8" w:space="0"/>
              <w:right w:val="nil"/>
            </w:tcBorders>
            <w:vAlign w:val="center"/>
          </w:tcPr>
          <w:p w14:paraId="58ACA20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0.5</w:t>
            </w:r>
          </w:p>
        </w:tc>
        <w:tc>
          <w:tcPr>
            <w:tcW w:w="3174" w:type="dxa"/>
            <w:tcBorders>
              <w:top w:val="nil"/>
              <w:left w:val="nil"/>
              <w:bottom w:val="single" w:color="auto" w:sz="8" w:space="0"/>
              <w:right w:val="nil"/>
            </w:tcBorders>
            <w:vAlign w:val="center"/>
          </w:tcPr>
          <w:p w14:paraId="3AA86276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0.4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20"/>
                <w:szCs w:val="20"/>
                <w:lang w:val="en-US" w:eastAsia="zh-CN"/>
              </w:rPr>
              <w:t>27</w:t>
            </w:r>
          </w:p>
        </w:tc>
        <w:tc>
          <w:tcPr>
            <w:tcW w:w="3174" w:type="dxa"/>
            <w:tcBorders>
              <w:top w:val="nil"/>
              <w:left w:val="nil"/>
              <w:bottom w:val="single" w:color="auto" w:sz="8" w:space="0"/>
              <w:right w:val="nil"/>
            </w:tcBorders>
            <w:vAlign w:val="center"/>
          </w:tcPr>
          <w:p w14:paraId="679FC0F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1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20"/>
                <w:szCs w:val="20"/>
                <w:lang w:val="en-US" w:eastAsia="zh-CN"/>
              </w:rPr>
              <w:t>9.51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%</w:t>
            </w:r>
          </w:p>
        </w:tc>
      </w:tr>
    </w:tbl>
    <w:p w14:paraId="11F2C29D">
      <w:pPr>
        <w:ind w:firstLine="420" w:firstLineChars="200"/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由表3可知，CNN整体可信度随λ增大而逐渐下降。当λ=0.2时，可信度由0.53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0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降至0.4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8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6，相较λ=0降低约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8.31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%；当λ=0.5时，可信度降至0.4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27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，降幅为1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9.51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%。综合考虑风险惩罚强度及可信度变化幅度，本文在案例评估中取λ=0.2，并将其作为预设参数。</w:t>
      </w:r>
    </w:p>
    <w:p w14:paraId="74429347">
      <w:pPr>
        <w:ind w:firstLine="420" w:firstLineChars="200"/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</w:p>
    <w:p w14:paraId="1A991758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/>
        <w:jc w:val="both"/>
        <w:textAlignment w:val="auto"/>
        <w:outlineLvl w:val="0"/>
        <w:rPr>
          <w:rFonts w:hint="eastAsia" w:ascii="黑体" w:hAnsi="黑体" w:eastAsia="黑体" w:cs="黑体"/>
          <w:b w:val="0"/>
          <w:bCs w:val="0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黑体" w:hAnsi="黑体" w:eastAsia="黑体" w:cs="黑体"/>
          <w:b w:val="0"/>
          <w:bCs w:val="0"/>
          <w:color w:val="000000"/>
          <w:kern w:val="2"/>
          <w:sz w:val="21"/>
          <w:szCs w:val="21"/>
          <w:lang w:val="en-US" w:eastAsia="zh-CN" w:bidi="ar"/>
        </w:rPr>
        <w:t>三、缺陷类别权重与</w:t>
      </w:r>
      <w:r>
        <w:rPr>
          <w:rFonts w:hint="default" w:ascii="Times New Roman" w:hAnsi="Times New Roman" w:eastAsia="黑体" w:cs="Times New Roman"/>
          <w:b w:val="0"/>
          <w:bCs w:val="0"/>
          <w:color w:val="000000"/>
          <w:kern w:val="2"/>
          <w:sz w:val="21"/>
          <w:szCs w:val="21"/>
          <w:lang w:val="en-US" w:eastAsia="zh-CN" w:bidi="ar"/>
        </w:rPr>
        <w:t>CNN</w:t>
      </w:r>
      <w:r>
        <w:rPr>
          <w:rFonts w:hint="eastAsia" w:ascii="黑体" w:hAnsi="黑体" w:eastAsia="黑体" w:cs="黑体"/>
          <w:b w:val="0"/>
          <w:bCs w:val="0"/>
          <w:color w:val="000000"/>
          <w:kern w:val="2"/>
          <w:sz w:val="21"/>
          <w:szCs w:val="21"/>
          <w:lang w:val="en-US" w:eastAsia="zh-CN" w:bidi="ar"/>
        </w:rPr>
        <w:t>可信度计算</w:t>
      </w:r>
    </w:p>
    <w:p w14:paraId="1431095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为确定各缺陷类别在可信度评估中的重要性，邀请5位具有神经网络测试经验的专家，对场景二中6种缺陷类型所涉及的5个缺陷类别进行重要性评估。由表1可知，其缺陷类别标识分别为К（已弃用的API）、ϒ（学习率设置不佳）、ϛ（层维度不匹配）、Ω（缺失归一化层</w:t>
      </w:r>
      <m:oMath>
        <m:sSub>
          <m:sSubP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sSubPr>
          <m:e>
            <m:r>
              <m:rPr>
                <m:sty m:val="p"/>
              </m:rPr>
              <w:rPr>
                <w:rFonts w:hint="eastAsia" w:ascii="Times New Roman" w:hAnsi="Times New Roman" w:eastAsia="宋体" w:cs="宋体"/>
                <w:color w:val="000000"/>
                <w:kern w:val="2"/>
                <w:sz w:val="21"/>
                <w:szCs w:val="21"/>
                <w:lang w:val="en-US" w:eastAsia="zh-CN" w:bidi="ar"/>
              </w:rPr>
              <m:t>Ω</m:t>
            </m: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e>
          <m:sub>
            <m:r>
              <m:rPr/>
              <w:rPr>
                <w:rFonts w:hint="default" w:ascii="Cambria Math" w:hAnsi="Cambria Math" w:cs="宋体"/>
                <w:color w:val="000000"/>
                <w:kern w:val="2"/>
                <w:sz w:val="21"/>
                <w:szCs w:val="21"/>
                <w:lang w:val="en-US" w:eastAsia="zh-CN" w:bidi="ar"/>
              </w:rPr>
              <m:t>1</m:t>
            </m: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sub>
        </m:sSub>
      </m:oMath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和错误的层类型</w:t>
      </w:r>
      <m:oMath>
        <m:sSub>
          <m:sSubP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sSubPr>
          <m:e>
            <m:r>
              <m:rPr>
                <m:sty m:val="p"/>
              </m:rPr>
              <w:rPr>
                <w:rFonts w:hint="eastAsia" w:ascii="Times New Roman" w:hAnsi="Times New Roman" w:eastAsia="宋体" w:cs="宋体"/>
                <w:color w:val="000000"/>
                <w:kern w:val="2"/>
                <w:sz w:val="21"/>
                <w:szCs w:val="21"/>
                <w:lang w:val="en-US" w:eastAsia="zh-CN" w:bidi="ar"/>
              </w:rPr>
              <m:t>Ω</m:t>
            </m: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e>
          <m:sub>
            <m:r>
              <m:rPr/>
              <w:rPr>
                <w:rFonts w:hint="default" w:ascii="Cambria Math" w:hAnsi="Cambria Math" w:cs="宋体"/>
                <w:color w:val="000000"/>
                <w:kern w:val="2"/>
                <w:sz w:val="21"/>
                <w:szCs w:val="21"/>
                <w:lang w:val="en-US" w:eastAsia="zh-CN" w:bidi="ar"/>
              </w:rPr>
              <m:t>2</m:t>
            </m: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sub>
        </m:sSub>
      </m:oMath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）和Ё（激活函数类型错误）。采用基于Kendall等级相关系数的群组FS-FUCOM方法计算各缺陷类别权重。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以可信属性可靠性为例，介绍影响可靠性属性的缺陷类别权重分配过程：首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先，各专家对5个缺陷类别按重要程度进行排序，并依据表2中的八级语言评价尺度，给出最重要缺陷类别相对于其余类别的模糊比较优先度。根据式（1）计算各专家的个人模糊权重，经去模糊化及归一化处理后得到个人权重向量，结果如表4所示。随后，将各专家的排序转换为秩向量，计算其余专家的平均秩次，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并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依据式（2）计算Kendall等级相关系数，如表5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、6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所示。最后，根据式（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）对各专家的权重进行加权融合，得到缺陷类别的群体综合权重，如表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5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同时，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对于</w:t>
      </w:r>
      <w:r>
        <w:rPr>
          <w:rFonts w:hint="eastAsia" w:ascii="Times New Roman" w:hAnsi="Times New Roman" w:cs="Times New Roman"/>
          <w:color w:val="000000"/>
          <w:kern w:val="2"/>
          <w:sz w:val="21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类别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中的缺失归一化层和错误的层类型，采用相同方法进一步计算其内部缺陷类型权重。</w:t>
      </w:r>
    </w:p>
    <w:p w14:paraId="506D6FF5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7"/>
        <w:tblW w:w="5000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0"/>
        <w:gridCol w:w="1488"/>
        <w:gridCol w:w="2916"/>
        <w:gridCol w:w="4358"/>
      </w:tblGrid>
      <w:tr w14:paraId="067BD64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026FCD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B6579A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1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666BA11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88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37041A9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4194771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D76DA7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8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03CB05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1531" w:type="pct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2BADC72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[(1,1,1),(1,2,3),(1,2,3),(1,2,3),(2,3,4)]</w:t>
            </w:r>
          </w:p>
        </w:tc>
        <w:tc>
          <w:tcPr>
            <w:tcW w:w="2288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282FC3B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(0.115,0.189,0.319,0.189,0.189)</w:t>
            </w:r>
          </w:p>
        </w:tc>
      </w:tr>
      <w:tr w14:paraId="33BD8C4E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5DF4FE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707E15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2267E22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[(1,1,1),(1,2,3),(2,3,4),(2,3,4),(4,5,6)]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440ACD7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(0.140,0.140,0.391,0.102,0.227)</w:t>
            </w:r>
          </w:p>
        </w:tc>
      </w:tr>
      <w:tr w14:paraId="33D122B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337C00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0B3C0A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101B39B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[(1,1,1),(1,2,3),(1,2,3),(1,2,3),(4,5,6)]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1F2B95E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(0.194,0.330,0.194,0.087,0.194)</w:t>
            </w:r>
          </w:p>
        </w:tc>
      </w:tr>
      <w:tr w14:paraId="225A22F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7EC8F9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A6A93D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12A2B4A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[(1,1,1),(1,2,3),(1,2,3),(2,3,4),(2,3,4)]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5019CF6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(0.124,0.203,0.346,0.203,0.124)</w:t>
            </w:r>
          </w:p>
        </w:tc>
      </w:tr>
      <w:tr w14:paraId="0206F008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96914D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781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3CD7580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1531" w:type="pct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31070E1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[(1,1,1),(2,3,4),(2,3,4),(2,3,4),(2,3,4)]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BA68CA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(0.147,0.147,0.147,0.147,0.413)</w:t>
            </w:r>
          </w:p>
        </w:tc>
      </w:tr>
    </w:tbl>
    <w:p w14:paraId="090C6142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表5  5位专家排除自身后的平均秩次结果</w:t>
      </w:r>
    </w:p>
    <w:tbl>
      <w:tblPr>
        <w:tblStyle w:val="8"/>
        <w:tblW w:w="5000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4"/>
        <w:gridCol w:w="1302"/>
        <w:gridCol w:w="1311"/>
        <w:gridCol w:w="1311"/>
        <w:gridCol w:w="1311"/>
        <w:gridCol w:w="1313"/>
      </w:tblGrid>
      <w:tr w14:paraId="30BC8DE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17978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683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C06D7D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К</w:t>
            </w:r>
          </w:p>
        </w:tc>
        <w:tc>
          <w:tcPr>
            <w:tcW w:w="688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4D93FDF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ϒ</w:t>
            </w:r>
          </w:p>
        </w:tc>
        <w:tc>
          <w:tcPr>
            <w:tcW w:w="688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4183E8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ϛ</w:t>
            </w:r>
          </w:p>
        </w:tc>
        <w:tc>
          <w:tcPr>
            <w:tcW w:w="688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7C858B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Ω</w:t>
            </w:r>
          </w:p>
        </w:tc>
        <w:tc>
          <w:tcPr>
            <w:tcW w:w="689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A52420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Ё</w:t>
            </w:r>
          </w:p>
        </w:tc>
      </w:tr>
      <w:tr w14:paraId="36AEA73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4C9D35C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68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6240E9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2.750</w:t>
            </w:r>
          </w:p>
        </w:tc>
        <w:tc>
          <w:tcPr>
            <w:tcW w:w="68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050C3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.000</w:t>
            </w:r>
          </w:p>
        </w:tc>
        <w:tc>
          <w:tcPr>
            <w:tcW w:w="68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55A574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.500</w:t>
            </w:r>
          </w:p>
        </w:tc>
        <w:tc>
          <w:tcPr>
            <w:tcW w:w="68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5D3F31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3.500</w:t>
            </w:r>
          </w:p>
        </w:tc>
        <w:tc>
          <w:tcPr>
            <w:tcW w:w="68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F22D76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</w:tr>
      <w:tr w14:paraId="7AECA61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pct"/>
            <w:tcBorders>
              <w:tl2br w:val="nil"/>
              <w:tr2bl w:val="nil"/>
            </w:tcBorders>
            <w:vAlign w:val="top"/>
          </w:tcPr>
          <w:p w14:paraId="6552D60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683" w:type="pct"/>
            <w:tcBorders>
              <w:tl2br w:val="nil"/>
              <w:tr2bl w:val="nil"/>
            </w:tcBorders>
            <w:vAlign w:val="center"/>
          </w:tcPr>
          <w:p w14:paraId="35E9C8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3.250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64CED62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6DFAD27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.500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4A68E4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2.750</w:t>
            </w:r>
          </w:p>
        </w:tc>
        <w:tc>
          <w:tcPr>
            <w:tcW w:w="689" w:type="pct"/>
            <w:tcBorders>
              <w:tl2br w:val="nil"/>
              <w:tr2bl w:val="nil"/>
            </w:tcBorders>
            <w:vAlign w:val="center"/>
          </w:tcPr>
          <w:p w14:paraId="35117CC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</w:tr>
      <w:tr w14:paraId="0C18A88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pct"/>
            <w:tcBorders>
              <w:tl2br w:val="nil"/>
              <w:tr2bl w:val="nil"/>
            </w:tcBorders>
            <w:vAlign w:val="top"/>
          </w:tcPr>
          <w:p w14:paraId="63AC013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683" w:type="pct"/>
            <w:tcBorders>
              <w:tl2br w:val="nil"/>
              <w:tr2bl w:val="nil"/>
            </w:tcBorders>
            <w:vAlign w:val="center"/>
          </w:tcPr>
          <w:p w14:paraId="58B689F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3.500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6DD8C34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2FC7FA6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25DEB8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2.750</w:t>
            </w:r>
          </w:p>
        </w:tc>
        <w:tc>
          <w:tcPr>
            <w:tcW w:w="689" w:type="pct"/>
            <w:tcBorders>
              <w:tl2br w:val="nil"/>
              <w:tr2bl w:val="nil"/>
            </w:tcBorders>
            <w:vAlign w:val="center"/>
          </w:tcPr>
          <w:p w14:paraId="6C5175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</w:tr>
      <w:tr w14:paraId="6DC5B88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pct"/>
            <w:tcBorders>
              <w:tl2br w:val="nil"/>
              <w:tr2bl w:val="nil"/>
            </w:tcBorders>
            <w:vAlign w:val="top"/>
          </w:tcPr>
          <w:p w14:paraId="2905FCF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683" w:type="pct"/>
            <w:tcBorders>
              <w:tl2br w:val="nil"/>
              <w:tr2bl w:val="nil"/>
            </w:tcBorders>
            <w:vAlign w:val="center"/>
          </w:tcPr>
          <w:p w14:paraId="65C652D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3.000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0465DEE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.000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5324E5A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.500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498A6E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3.500</w:t>
            </w:r>
          </w:p>
        </w:tc>
        <w:tc>
          <w:tcPr>
            <w:tcW w:w="689" w:type="pct"/>
            <w:tcBorders>
              <w:tl2br w:val="nil"/>
              <w:tr2bl w:val="nil"/>
            </w:tcBorders>
            <w:vAlign w:val="center"/>
          </w:tcPr>
          <w:p w14:paraId="5EAB541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</w:tr>
      <w:tr w14:paraId="6ADCC19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561" w:type="pct"/>
            <w:tcBorders>
              <w:tl2br w:val="nil"/>
              <w:tr2bl w:val="nil"/>
            </w:tcBorders>
            <w:vAlign w:val="top"/>
          </w:tcPr>
          <w:p w14:paraId="554488B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683" w:type="pct"/>
            <w:tcBorders>
              <w:tl2br w:val="nil"/>
              <w:tr2bl w:val="nil"/>
            </w:tcBorders>
            <w:vAlign w:val="center"/>
          </w:tcPr>
          <w:p w14:paraId="413D38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3.500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64BA1C3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.000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52DA60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1EBC754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3.500</w:t>
            </w:r>
          </w:p>
        </w:tc>
        <w:tc>
          <w:tcPr>
            <w:tcW w:w="689" w:type="pct"/>
            <w:tcBorders>
              <w:tl2br w:val="nil"/>
              <w:tr2bl w:val="nil"/>
            </w:tcBorders>
            <w:vAlign w:val="center"/>
          </w:tcPr>
          <w:p w14:paraId="3EEB7B0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</w:tr>
      <w:tr w14:paraId="76612E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pct"/>
            <w:tcBorders>
              <w:tl2br w:val="nil"/>
              <w:tr2bl w:val="nil"/>
            </w:tcBorders>
            <w:vAlign w:val="top"/>
          </w:tcPr>
          <w:p w14:paraId="383C597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683" w:type="pct"/>
            <w:tcBorders>
              <w:tl2br w:val="nil"/>
              <w:tr2bl w:val="nil"/>
            </w:tcBorders>
            <w:vAlign w:val="center"/>
          </w:tcPr>
          <w:p w14:paraId="4C3684E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0.142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73542C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0.199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01C4068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0.293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2F92910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0.146</w:t>
            </w:r>
          </w:p>
        </w:tc>
        <w:tc>
          <w:tcPr>
            <w:tcW w:w="689" w:type="pct"/>
            <w:tcBorders>
              <w:tl2br w:val="nil"/>
              <w:tr2bl w:val="nil"/>
            </w:tcBorders>
            <w:vAlign w:val="center"/>
          </w:tcPr>
          <w:p w14:paraId="42EBBA2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0.221</w:t>
            </w:r>
          </w:p>
        </w:tc>
      </w:tr>
    </w:tbl>
    <w:p w14:paraId="5B3DBF0E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6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368"/>
        <w:gridCol w:w="1368"/>
        <w:gridCol w:w="1369"/>
        <w:gridCol w:w="1369"/>
        <w:gridCol w:w="1369"/>
      </w:tblGrid>
      <w:tr w14:paraId="1A80FA5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CA396C7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88786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EF5F0D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AC23D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16735E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201C1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58CF525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9329987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8896E4B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0.500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1AFB5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610A230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5CF2CB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2F0877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000</w:t>
            </w:r>
          </w:p>
        </w:tc>
      </w:tr>
      <w:tr w14:paraId="0E542D8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7E809BE8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3ADADB15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45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0A525F9A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245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78CC0F04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0.1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81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75675C0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181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17D26A1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0.1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48</w:t>
            </w:r>
          </w:p>
        </w:tc>
      </w:tr>
    </w:tbl>
    <w:p w14:paraId="4F679C22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420" w:firstLineChars="200"/>
        <w:jc w:val="both"/>
        <w:textAlignment w:val="auto"/>
        <w:rPr>
          <w:rFonts w:hint="default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（1）可靠性中</w:t>
      </w:r>
      <w:r>
        <w:rPr>
          <w:rFonts w:hint="eastAsia" w:ascii="Times New Roman" w:hAnsi="Times New Roman" w:cs="Times New Roman"/>
          <w:color w:val="000000"/>
          <w:kern w:val="2"/>
          <w:sz w:val="21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类别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中的缺失归一化层和错误的层类型权重分配</w:t>
      </w:r>
    </w:p>
    <w:p w14:paraId="5BE21F06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7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7"/>
        <w:tblW w:w="5000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0"/>
        <w:gridCol w:w="1488"/>
        <w:gridCol w:w="2916"/>
        <w:gridCol w:w="4358"/>
      </w:tblGrid>
      <w:tr w14:paraId="1025A1D4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B48673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8EDBFB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1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469B61D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88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4902A50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17830DF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9595ED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8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DAEF49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247C48E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062C489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(0.635,0.365)</w:t>
            </w:r>
          </w:p>
        </w:tc>
      </w:tr>
      <w:tr w14:paraId="7AD3194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0A62C8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1D8D01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139ECE9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60FD6D9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(0.365,0.635)</w:t>
            </w:r>
          </w:p>
        </w:tc>
      </w:tr>
      <w:tr w14:paraId="510091E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53CDC3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7A8262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6311A63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008223D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(0.741,0.259)</w:t>
            </w:r>
          </w:p>
        </w:tc>
      </w:tr>
      <w:tr w14:paraId="0FC357EB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81EB93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A44D8B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0758341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76D59CE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(0.635,0.365)</w:t>
            </w:r>
          </w:p>
        </w:tc>
      </w:tr>
      <w:tr w14:paraId="01AE7779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1AE50A1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781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BE5893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31E2DED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635C94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(0.365,0.635)</w:t>
            </w:r>
          </w:p>
        </w:tc>
      </w:tr>
    </w:tbl>
    <w:p w14:paraId="7DCD3641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表8  5位专家排除自身后的平均秩次结果</w:t>
      </w:r>
    </w:p>
    <w:tbl>
      <w:tblPr>
        <w:tblStyle w:val="8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7"/>
        <w:gridCol w:w="2218"/>
        <w:gridCol w:w="2233"/>
      </w:tblGrid>
      <w:tr w14:paraId="046DD5E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BE0BA0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116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572802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Times New Roman" w:hAnsi="Times New Roman" w:eastAsia="宋体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1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ub>
                </m:sSub>
              </m:oMath>
            </m:oMathPara>
          </w:p>
        </w:tc>
        <w:tc>
          <w:tcPr>
            <w:tcW w:w="1173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134AD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Times New Roman" w:hAnsi="Times New Roman" w:eastAsia="宋体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2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ub>
                </m:sSub>
              </m:oMath>
            </m:oMathPara>
          </w:p>
        </w:tc>
      </w:tr>
      <w:tr w14:paraId="42C8560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4922799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218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D1847D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117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137B80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</w:tr>
      <w:tr w14:paraId="1EA4064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7C24B5E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598754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5A0E647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</w:tr>
      <w:tr w14:paraId="0E81A9A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5419CED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20B0D72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1DCD12C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</w:tr>
      <w:tr w14:paraId="62D4EA8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472E47D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0F6650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7FED46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</w:tr>
      <w:tr w14:paraId="328256F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53A6D0E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52CFA37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5503F95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</w:tr>
      <w:tr w14:paraId="24ADA3F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7443663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1165" w:type="pct"/>
            <w:tcBorders>
              <w:tl2br w:val="nil"/>
              <w:tr2bl w:val="nil"/>
            </w:tcBorders>
            <w:vAlign w:val="center"/>
          </w:tcPr>
          <w:p w14:paraId="521FE6C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0.391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2EC36BC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0.611</w:t>
            </w:r>
          </w:p>
        </w:tc>
      </w:tr>
    </w:tbl>
    <w:p w14:paraId="1419F7F8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9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368"/>
        <w:gridCol w:w="1368"/>
        <w:gridCol w:w="1369"/>
        <w:gridCol w:w="1369"/>
        <w:gridCol w:w="1369"/>
      </w:tblGrid>
      <w:tr w14:paraId="5ACDE9F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511C95C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41C90D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B4CBCB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409BD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684DF9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0161BA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50BE7B79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35B1976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1CD96A6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352D7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-1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92CE07A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B512676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01B4F7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-1</w:t>
            </w:r>
          </w:p>
        </w:tc>
      </w:tr>
      <w:tr w14:paraId="37FB791D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89B7B0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312754D4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68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0E01D785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099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770CABD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268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07A292D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268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3CA6C3C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099</w:t>
            </w:r>
          </w:p>
        </w:tc>
      </w:tr>
    </w:tbl>
    <w:p w14:paraId="62616ADB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default" w:ascii="Times New Roman" w:hAnsi="Times New Roman" w:eastAsia="宋体" w:cs="Times New Roman"/>
          <w:sz w:val="21"/>
          <w:szCs w:val="21"/>
        </w:rPr>
      </w:pPr>
      <w:r>
        <w:rPr>
          <w:rFonts w:hint="default" w:ascii="Times New Roman" w:hAnsi="Times New Roman" w:eastAsia="宋体" w:cs="Times New Roman"/>
          <w:sz w:val="21"/>
          <w:szCs w:val="21"/>
        </w:rPr>
        <w:t>（1）计算各可信属性的缺陷值。</w:t>
      </w:r>
      <w:r>
        <w:rPr>
          <w:rFonts w:hint="eastAsia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由专家根据缺陷类型对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CNN</w:t>
      </w:r>
      <w:r>
        <w:rPr>
          <w:rFonts w:hint="eastAsia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模型的影响程度评定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各缺陷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类型的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严重度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等级以及各缺陷类别影响的可信属性，</w:t>
      </w:r>
      <w:r>
        <w:rPr>
          <w:rFonts w:hint="default" w:ascii="Times New Roman" w:hAnsi="Times New Roman" w:eastAsia="宋体" w:cs="Times New Roman"/>
          <w:sz w:val="21"/>
          <w:szCs w:val="21"/>
        </w:rPr>
        <w:t>如表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10</w:t>
      </w:r>
      <w:r>
        <w:rPr>
          <w:rFonts w:hint="default" w:ascii="Times New Roman" w:hAnsi="Times New Roman" w:eastAsia="宋体" w:cs="Times New Roman"/>
          <w:sz w:val="21"/>
          <w:szCs w:val="21"/>
        </w:rPr>
        <w:t>所示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。</w:t>
      </w:r>
      <w:r>
        <w:rPr>
          <w:rFonts w:hint="default" w:ascii="Times New Roman" w:hAnsi="Times New Roman" w:eastAsia="宋体" w:cs="Times New Roman"/>
          <w:sz w:val="21"/>
          <w:szCs w:val="21"/>
        </w:rPr>
        <w:t>根据式（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sz w:val="21"/>
          <w:szCs w:val="21"/>
        </w:rPr>
        <w:t>）计算各可信属性的缺陷值</w:t>
      </w:r>
      <w:r>
        <w:rPr>
          <w:rFonts w:hint="eastAsia" w:ascii="Times New Roman" w:hAnsi="Times New Roman" w:cs="Times New Roman"/>
          <w:sz w:val="21"/>
          <w:szCs w:val="21"/>
          <w:lang w:eastAsia="zh-CN"/>
        </w:rPr>
        <w:t>，</w:t>
      </w:r>
      <w:r>
        <w:rPr>
          <w:rFonts w:hint="default" w:ascii="Times New Roman" w:hAnsi="Times New Roman" w:eastAsia="宋体" w:cs="Times New Roman"/>
          <w:sz w:val="21"/>
          <w:szCs w:val="21"/>
        </w:rPr>
        <w:t>以性能为例，其受到ϒ、Ω和Ё共3种缺陷类别的影响</w:t>
      </w:r>
      <w:r>
        <w:rPr>
          <w:rFonts w:hint="eastAsia" w:ascii="Times New Roman" w:hAnsi="Times New Roman" w:cs="Times New Roman"/>
          <w:sz w:val="21"/>
          <w:szCs w:val="21"/>
          <w:lang w:eastAsia="zh-CN"/>
        </w:rPr>
        <w:t>。</w:t>
      </w:r>
      <w:r>
        <w:rPr>
          <w:rFonts w:hint="default" w:ascii="Times New Roman" w:hAnsi="Times New Roman" w:eastAsia="宋体" w:cs="Times New Roman"/>
          <w:sz w:val="21"/>
          <w:szCs w:val="21"/>
        </w:rPr>
        <w:t>通过对上述3种缺陷类别及Ω内部两种缺陷类型分别赋权，计算得到性能的缺陷值</w:t>
      </w:r>
      <m:oMath>
        <m:sSub>
          <m:sSubPr>
            <m:ctrlPr>
              <w:rPr>
                <w:rFonts w:hint="default" w:ascii="Cambria Math" w:hAnsi="Cambria Math" w:cs="Times New Roman"/>
                <w:i/>
                <w:color w:val="000000"/>
                <w:kern w:val="0"/>
                <w:sz w:val="21"/>
                <w:szCs w:val="18"/>
                <w:shd w:val="clear" w:fill="FFFFFF"/>
                <w:lang w:val="en-US" w:eastAsia="zh-CN" w:bidi="ar"/>
              </w:rPr>
            </m:ctrlPr>
          </m:sSubPr>
          <m:e>
            <m:r>
              <m:rPr/>
              <w:rPr>
                <w:rFonts w:hint="default" w:ascii="Cambria Math" w:hAnsi="Cambria Math" w:cs="Times New Roman"/>
                <w:color w:val="000000"/>
                <w:kern w:val="0"/>
                <w:sz w:val="21"/>
                <w:szCs w:val="18"/>
                <w:shd w:val="clear" w:fill="FFFFFF"/>
                <w:lang w:val="en-US" w:eastAsia="zh-CN" w:bidi="ar"/>
              </w:rPr>
              <m:t>DA</m:t>
            </m:r>
            <m:ctrlPr>
              <w:rPr>
                <w:rFonts w:hint="default" w:ascii="Cambria Math" w:hAnsi="Cambria Math" w:cs="Times New Roman"/>
                <w:i/>
                <w:color w:val="000000"/>
                <w:kern w:val="0"/>
                <w:sz w:val="21"/>
                <w:szCs w:val="18"/>
                <w:shd w:val="clear" w:fill="FFFFFF"/>
                <w:lang w:val="en-US" w:eastAsia="zh-CN" w:bidi="ar"/>
              </w:rPr>
            </m:ctrlPr>
          </m:e>
          <m:sub>
            <m:r>
              <m:rPr/>
              <w:rPr>
                <w:rFonts w:hint="default" w:ascii="Cambria Math" w:hAnsi="Cambria Math" w:cs="Times New Roman"/>
                <w:color w:val="000000"/>
                <w:kern w:val="0"/>
                <w:sz w:val="21"/>
                <w:szCs w:val="18"/>
                <w:shd w:val="clear" w:fill="FFFFFF"/>
                <w:lang w:val="en-US" w:eastAsia="zh-CN" w:bidi="ar"/>
              </w:rPr>
              <m:t>Performance</m:t>
            </m:r>
            <m:ctrlPr>
              <w:rPr>
                <w:rFonts w:hint="default" w:ascii="Cambria Math" w:hAnsi="Cambria Math" w:cs="Times New Roman"/>
                <w:i/>
                <w:color w:val="000000"/>
                <w:kern w:val="0"/>
                <w:sz w:val="21"/>
                <w:szCs w:val="18"/>
                <w:shd w:val="clear" w:fill="FFFFFF"/>
                <w:lang w:val="en-US" w:eastAsia="zh-CN" w:bidi="ar"/>
              </w:rPr>
            </m:ctrlPr>
          </m:sub>
        </m:sSub>
      </m:oMath>
      <w:r>
        <w:rPr>
          <w:rFonts w:hint="default" w:ascii="Times New Roman" w:hAnsi="Times New Roman" w:cs="Times New Roman"/>
          <w:sz w:val="21"/>
          <w:szCs w:val="21"/>
        </w:rPr>
        <w:t xml:space="preserve"> = 7×0.459＋(6×0.323＋7×0.678)×0.180＋6×0.362 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=</w:t>
      </w:r>
      <w:r>
        <w:rPr>
          <w:rFonts w:hint="default" w:ascii="Times New Roman" w:hAnsi="Times New Roman" w:cs="Times New Roman"/>
          <w:sz w:val="21"/>
          <w:szCs w:val="21"/>
        </w:rPr>
        <w:t>6.588</w:t>
      </w:r>
      <w:r>
        <w:rPr>
          <w:rFonts w:hint="eastAsia"/>
          <w:sz w:val="21"/>
          <w:szCs w:val="21"/>
          <w:lang w:eastAsia="zh-CN"/>
        </w:rPr>
        <w:t>。</w:t>
      </w:r>
      <w:r>
        <w:rPr>
          <w:rFonts w:hint="default" w:ascii="Times New Roman" w:hAnsi="Times New Roman" w:eastAsia="宋体" w:cs="Times New Roman"/>
          <w:sz w:val="21"/>
          <w:szCs w:val="21"/>
        </w:rPr>
        <w:t>采用相同方法计算其他可信属性的缺陷值，结果如表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11</w:t>
      </w:r>
      <w:r>
        <w:rPr>
          <w:rFonts w:hint="default" w:ascii="Times New Roman" w:hAnsi="Times New Roman" w:eastAsia="宋体" w:cs="Times New Roman"/>
          <w:sz w:val="21"/>
          <w:szCs w:val="21"/>
        </w:rPr>
        <w:t>所示。</w:t>
      </w:r>
    </w:p>
    <w:p w14:paraId="7A437E3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default" w:ascii="Times New Roman" w:hAnsi="Times New Roman" w:eastAsia="宋体" w:cs="Times New Roman"/>
          <w:sz w:val="21"/>
          <w:szCs w:val="21"/>
        </w:rPr>
      </w:pPr>
      <w:r>
        <w:rPr>
          <w:rFonts w:hint="default" w:ascii="Times New Roman" w:hAnsi="Times New Roman" w:eastAsia="宋体" w:cs="Times New Roman"/>
          <w:sz w:val="21"/>
          <w:szCs w:val="21"/>
        </w:rPr>
        <w:t>（2）计算各可信属性的属性值。根据定义4，可信属性的属性值随缺陷值增大而减小。通过分析CNN项目代码，设置控制参数f=10，非线性风险调节系数λ=0.2，以控制缺陷值对可信属性的衰减作用。将各可信属性的缺陷值代入式（6），计算得到性能的属性值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为0.474</w:t>
      </w:r>
      <w:r>
        <w:rPr>
          <w:rFonts w:hint="eastAsia" w:ascii="Times New Roman" w:hAnsi="Times New Roman" w:cs="Times New Roman"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按同样方法计算其他可信属性的属性值，并且可以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基于Kendall等级相关系数的群组FS-FUCOM方法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分配可信属性的权重，如表</w:t>
      </w:r>
      <w:r>
        <w:rPr>
          <w:rFonts w:hint="eastAsia" w:ascii="Times New Roman" w:hAnsi="Times New Roman" w:cs="Times New Roman"/>
          <w:color w:val="000000"/>
          <w:sz w:val="21"/>
          <w:szCs w:val="21"/>
          <w:shd w:val="clear" w:fill="FFFFFF"/>
          <w:lang w:val="en-US" w:eastAsia="zh-CN"/>
        </w:rPr>
        <w:t>11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所示。</w:t>
      </w:r>
    </w:p>
    <w:p w14:paraId="1EEE492F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default" w:ascii="Times New Roman" w:hAnsi="Times New Roman" w:eastAsia="宋体" w:cs="Times New Roman"/>
          <w:sz w:val="21"/>
          <w:szCs w:val="21"/>
        </w:rPr>
      </w:pPr>
      <w:r>
        <w:rPr>
          <w:rFonts w:hint="default" w:ascii="Times New Roman" w:hAnsi="Times New Roman" w:eastAsia="宋体" w:cs="Times New Roman"/>
          <w:sz w:val="21"/>
          <w:szCs w:val="21"/>
        </w:rPr>
        <w:t>（3）计算CNN模型的可信度。根据定义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sz w:val="21"/>
          <w:szCs w:val="21"/>
        </w:rPr>
        <w:t>，结合6项可信属性的属性值及其对应权重，根据式（7）计算得到CNN模型H的整体可信度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0.486</w:t>
      </w:r>
      <w:r>
        <w:rPr>
          <w:rFonts w:hint="default" w:ascii="Times New Roman" w:hAnsi="Times New Roman" w:eastAsia="宋体" w:cs="Times New Roman"/>
          <w:sz w:val="21"/>
          <w:szCs w:val="21"/>
        </w:rPr>
        <w:t>。</w:t>
      </w:r>
    </w:p>
    <w:p w14:paraId="3124616B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default" w:ascii="Times New Roman" w:hAnsi="Times New Roman" w:eastAsia="宋体" w:cs="Times New Roman"/>
          <w:sz w:val="21"/>
          <w:szCs w:val="21"/>
        </w:rPr>
      </w:pPr>
    </w:p>
    <w:p w14:paraId="6D65B79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default" w:ascii="Times New Roman" w:hAnsi="Times New Roman" w:eastAsia="宋体" w:cs="Times New Roman"/>
          <w:sz w:val="21"/>
          <w:szCs w:val="21"/>
        </w:rPr>
      </w:pPr>
    </w:p>
    <w:p w14:paraId="63229A1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default" w:ascii="Times New Roman" w:hAnsi="Times New Roman" w:eastAsia="宋体" w:cs="Times New Roman"/>
          <w:sz w:val="21"/>
          <w:szCs w:val="21"/>
        </w:rPr>
      </w:pPr>
    </w:p>
    <w:p w14:paraId="6D5256AE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default" w:ascii="Times New Roman" w:hAnsi="Times New Roman" w:eastAsia="宋体" w:cs="Times New Roman"/>
          <w:sz w:val="21"/>
          <w:szCs w:val="21"/>
        </w:rPr>
      </w:pPr>
    </w:p>
    <w:p w14:paraId="76A9D61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default" w:ascii="Times New Roman" w:hAnsi="Times New Roman" w:eastAsia="宋体" w:cs="Times New Roman"/>
          <w:sz w:val="21"/>
          <w:szCs w:val="21"/>
        </w:rPr>
      </w:pPr>
    </w:p>
    <w:p w14:paraId="010ADA42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sz w:val="18"/>
          <w:szCs w:val="18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10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多缺陷场景下的缺陷数据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8"/>
        <w:gridCol w:w="4329"/>
        <w:gridCol w:w="3081"/>
      </w:tblGrid>
      <w:tr w14:paraId="15AE78FA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F3F05B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缺陷标识符</w:t>
            </w:r>
          </w:p>
        </w:tc>
        <w:tc>
          <w:tcPr>
            <w:tcW w:w="227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37F5B4C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可信属性</w:t>
            </w:r>
          </w:p>
        </w:tc>
        <w:tc>
          <w:tcPr>
            <w:tcW w:w="16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87B4FC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严重度等级（缺陷值）</w:t>
            </w:r>
          </w:p>
        </w:tc>
      </w:tr>
      <w:tr w14:paraId="6973847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107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196059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2273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1B10E8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安全性、可靠性、抗风险性和可用性</w:t>
            </w:r>
          </w:p>
        </w:tc>
        <w:tc>
          <w:tcPr>
            <w:tcW w:w="16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0FCF4B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3</w:t>
            </w:r>
          </w:p>
        </w:tc>
      </w:tr>
      <w:tr w14:paraId="3707C439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CD831E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2"/>
                <w:sz w:val="18"/>
                <w:szCs w:val="18"/>
                <w:lang w:val="en-US" w:eastAsia="zh-CN" w:bidi="ar"/>
              </w:rPr>
              <w:t>ϒ</w:t>
            </w:r>
          </w:p>
        </w:tc>
        <w:tc>
          <w:tcPr>
            <w:tcW w:w="22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1F249A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Calibri" w:hAnsi="Calibri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正确性、可靠性和性能</w:t>
            </w:r>
          </w:p>
        </w:tc>
        <w:tc>
          <w:tcPr>
            <w:tcW w:w="16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046B4A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7</w:t>
            </w:r>
          </w:p>
        </w:tc>
      </w:tr>
      <w:tr w14:paraId="4A10767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872266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2"/>
                <w:sz w:val="18"/>
                <w:szCs w:val="18"/>
                <w:lang w:val="en-US" w:eastAsia="zh-CN" w:bidi="ar"/>
              </w:rPr>
              <w:t>ϛ</w:t>
            </w:r>
          </w:p>
        </w:tc>
        <w:tc>
          <w:tcPr>
            <w:tcW w:w="22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D8CA1A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正确性、可靠性和可用性</w:t>
            </w:r>
          </w:p>
        </w:tc>
        <w:tc>
          <w:tcPr>
            <w:tcW w:w="16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AD232D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10</w:t>
            </w:r>
          </w:p>
        </w:tc>
      </w:tr>
      <w:tr w14:paraId="1B87C3A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4CE6EB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22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CCB1CF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Calibri" w:hAnsi="Calibri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正确性、可靠性、性能和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抗风险性</w:t>
            </w:r>
          </w:p>
        </w:tc>
        <w:tc>
          <w:tcPr>
            <w:tcW w:w="16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525917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6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，7</w:t>
            </w:r>
          </w:p>
        </w:tc>
      </w:tr>
      <w:tr w14:paraId="6B59F4DE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7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4C3FD4B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2"/>
                <w:sz w:val="18"/>
                <w:szCs w:val="18"/>
                <w:lang w:val="en-US" w:eastAsia="zh-CN" w:bidi="ar"/>
              </w:rPr>
              <w:t>Ё</w:t>
            </w:r>
          </w:p>
        </w:tc>
        <w:tc>
          <w:tcPr>
            <w:tcW w:w="2273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4801500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正确性、可靠性、性能和抗风险性</w:t>
            </w:r>
          </w:p>
        </w:tc>
        <w:tc>
          <w:tcPr>
            <w:tcW w:w="16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1682D29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6</w:t>
            </w:r>
          </w:p>
        </w:tc>
      </w:tr>
    </w:tbl>
    <w:p w14:paraId="20468068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11 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可信属性的缺陷值、属性值和权重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7"/>
        <w:gridCol w:w="1304"/>
        <w:gridCol w:w="1304"/>
        <w:gridCol w:w="1304"/>
        <w:gridCol w:w="1618"/>
        <w:gridCol w:w="1304"/>
        <w:gridCol w:w="1071"/>
      </w:tblGrid>
      <w:tr w14:paraId="7917062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2723654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可信属性</w:t>
            </w:r>
          </w:p>
        </w:tc>
        <w:tc>
          <w:tcPr>
            <w:tcW w:w="6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0C5769A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安全性</w:t>
            </w:r>
          </w:p>
        </w:tc>
        <w:tc>
          <w:tcPr>
            <w:tcW w:w="6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3DA06C9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正确性</w:t>
            </w:r>
          </w:p>
        </w:tc>
        <w:tc>
          <w:tcPr>
            <w:tcW w:w="6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3814B95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可靠性</w:t>
            </w:r>
          </w:p>
        </w:tc>
        <w:tc>
          <w:tcPr>
            <w:tcW w:w="8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3782010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抗风险性</w:t>
            </w:r>
          </w:p>
        </w:tc>
        <w:tc>
          <w:tcPr>
            <w:tcW w:w="6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6D2B842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可用性</w:t>
            </w:r>
          </w:p>
        </w:tc>
        <w:tc>
          <w:tcPr>
            <w:tcW w:w="56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5504E9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性能</w:t>
            </w:r>
          </w:p>
        </w:tc>
      </w:tr>
      <w:tr w14:paraId="762D7959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  <w:jc w:val="center"/>
        </w:trPr>
        <w:tc>
          <w:tcPr>
            <w:tcW w:w="84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64A682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缺陷值</w:t>
            </w:r>
          </w:p>
        </w:tc>
        <w:tc>
          <w:tcPr>
            <w:tcW w:w="684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538071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684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9C6CEC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7.732</w:t>
            </w:r>
          </w:p>
        </w:tc>
        <w:tc>
          <w:tcPr>
            <w:tcW w:w="684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7D1291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7.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042</w:t>
            </w:r>
          </w:p>
        </w:tc>
        <w:tc>
          <w:tcPr>
            <w:tcW w:w="84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86B728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5.332</w:t>
            </w:r>
          </w:p>
        </w:tc>
        <w:tc>
          <w:tcPr>
            <w:tcW w:w="684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58A36D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7.893</w:t>
            </w:r>
          </w:p>
        </w:tc>
        <w:tc>
          <w:tcPr>
            <w:tcW w:w="562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2812ED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6.588</w:t>
            </w:r>
          </w:p>
        </w:tc>
      </w:tr>
      <w:tr w14:paraId="771D263E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8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94D47D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属性值</w:t>
            </w:r>
          </w:p>
        </w:tc>
        <w:tc>
          <w:tcPr>
            <w:tcW w:w="6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261D4C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728</w:t>
            </w:r>
          </w:p>
        </w:tc>
        <w:tc>
          <w:tcPr>
            <w:tcW w:w="6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FE98CC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410</w:t>
            </w:r>
          </w:p>
        </w:tc>
        <w:tc>
          <w:tcPr>
            <w:tcW w:w="6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0A7460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0.4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48</w:t>
            </w:r>
          </w:p>
        </w:tc>
        <w:tc>
          <w:tcPr>
            <w:tcW w:w="8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884054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554</w:t>
            </w:r>
          </w:p>
        </w:tc>
        <w:tc>
          <w:tcPr>
            <w:tcW w:w="6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CC44CE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401</w:t>
            </w:r>
          </w:p>
        </w:tc>
        <w:tc>
          <w:tcPr>
            <w:tcW w:w="56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AFB8C9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474</w:t>
            </w:r>
          </w:p>
        </w:tc>
      </w:tr>
      <w:tr w14:paraId="66F0B1F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3844392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可信属性权重</w:t>
            </w:r>
          </w:p>
        </w:tc>
        <w:tc>
          <w:tcPr>
            <w:tcW w:w="684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B254A3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187</w:t>
            </w:r>
          </w:p>
        </w:tc>
        <w:tc>
          <w:tcPr>
            <w:tcW w:w="684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1848E4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302</w:t>
            </w:r>
          </w:p>
        </w:tc>
        <w:tc>
          <w:tcPr>
            <w:tcW w:w="684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78E638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0.2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21</w:t>
            </w:r>
          </w:p>
        </w:tc>
        <w:tc>
          <w:tcPr>
            <w:tcW w:w="84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9E1695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096</w:t>
            </w:r>
          </w:p>
        </w:tc>
        <w:tc>
          <w:tcPr>
            <w:tcW w:w="684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CEFE62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0.0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82</w:t>
            </w:r>
          </w:p>
        </w:tc>
        <w:tc>
          <w:tcPr>
            <w:tcW w:w="562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695555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12</w:t>
            </w:r>
          </w:p>
        </w:tc>
      </w:tr>
    </w:tbl>
    <w:p w14:paraId="543CBF1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/>
        <w:textAlignment w:val="auto"/>
      </w:pPr>
    </w:p>
    <w:p w14:paraId="5CD75BA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/>
        <w:textAlignment w:val="auto"/>
      </w:pPr>
    </w:p>
    <w:p w14:paraId="1D7CB7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outlineLvl w:val="0"/>
        <w:rPr>
          <w:rFonts w:hint="eastAsia" w:ascii="黑体" w:hAnsi="黑体" w:eastAsia="黑体" w:cs="黑体"/>
          <w:sz w:val="21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1"/>
          <w:szCs w:val="24"/>
          <w:lang w:val="en-US" w:eastAsia="zh-CN"/>
        </w:rPr>
        <w:t>四、权重计算数据</w:t>
      </w:r>
    </w:p>
    <w:p w14:paraId="24AA63F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outlineLvl w:val="1"/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（1）抗风险性</w:t>
      </w:r>
    </w:p>
    <w:p w14:paraId="482095C1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介绍影响抗风险性属性的缺陷类别权重分配过程：首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先，各专家对5个缺陷类别按重要程度进行排序，并依据表2中的八级语言评价尺度，给出最重要缺陷类别相对于其余类别的模糊比较优先度。根据式（1）计算各专家的个人模糊权重，经去模糊化及归一化处理后得到个人权重向量，结果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12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所示。随后，将各专家的排序转换为秩向量，计算其余专家的平均秩次，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并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依据式（2）计算Kendall等级相关系数，如表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13、14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所示。最后，根据式（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）对各专家的权重进行加权融合，得到缺陷类别的群体综合权重，如表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13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同时，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对于</w:t>
      </w:r>
      <w:r>
        <w:rPr>
          <w:rFonts w:hint="eastAsia" w:ascii="Times New Roman" w:hAnsi="Times New Roman" w:cs="Times New Roman"/>
          <w:color w:val="000000"/>
          <w:kern w:val="2"/>
          <w:sz w:val="21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类别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中的缺失归一化层和错误的层类型，采用相同方法进一步计算其内部缺陷类型权重。</w:t>
      </w:r>
    </w:p>
    <w:p w14:paraId="36D1F9A8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12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7"/>
        <w:tblW w:w="4998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6"/>
        <w:gridCol w:w="1487"/>
        <w:gridCol w:w="2914"/>
        <w:gridCol w:w="4361"/>
      </w:tblGrid>
      <w:tr w14:paraId="37ABDE6B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066776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810B06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0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75CEACD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90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2ED7385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0811239B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AD9623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8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78E2A6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1530" w:type="pct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4879479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[(1,1,1),(1,2,3),(2,3,4)]</w:t>
            </w:r>
          </w:p>
        </w:tc>
        <w:tc>
          <w:tcPr>
            <w:tcW w:w="2290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101B93E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(0.184,0.299,0.517)</w:t>
            </w:r>
          </w:p>
        </w:tc>
      </w:tr>
      <w:tr w14:paraId="00F6FA2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A35A6E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5B7B1A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1530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68B9D7E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662AC9A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(0.314,0.142,0.545)</w:t>
            </w:r>
          </w:p>
        </w:tc>
      </w:tr>
      <w:tr w14:paraId="102127D0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9B7E97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51D0E4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1530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21F1315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4FD34A7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(0.314,0.142,0.545)</w:t>
            </w:r>
          </w:p>
        </w:tc>
      </w:tr>
      <w:tr w14:paraId="3F3F0210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48E284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761A89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1530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7AC44FF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[(1,1,1),(2,3,4),(2,3,4)]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54DBD1D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(0.207,0.586,0.207)</w:t>
            </w:r>
          </w:p>
        </w:tc>
      </w:tr>
      <w:tr w14:paraId="0571277B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7DDDC97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781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7CF58AB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1530" w:type="pct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1A070D4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[(1,1,1),(2,3,4),(2,3,4)]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8A8A3D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(0.207,0.207,0.586)</w:t>
            </w:r>
          </w:p>
        </w:tc>
      </w:tr>
    </w:tbl>
    <w:p w14:paraId="01CD926F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表13  5位专家排除自身后的平均秩次结果</w:t>
      </w:r>
    </w:p>
    <w:tbl>
      <w:tblPr>
        <w:tblStyle w:val="8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04"/>
        <w:gridCol w:w="1796"/>
        <w:gridCol w:w="1809"/>
        <w:gridCol w:w="1809"/>
      </w:tblGrid>
      <w:tr w14:paraId="36CD0A7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759813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943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D3660D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К</w:t>
            </w:r>
          </w:p>
        </w:tc>
        <w:tc>
          <w:tcPr>
            <w:tcW w:w="950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8CAEE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Ω</w:t>
            </w:r>
          </w:p>
        </w:tc>
        <w:tc>
          <w:tcPr>
            <w:tcW w:w="950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DC57C7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Ё</w:t>
            </w:r>
          </w:p>
        </w:tc>
      </w:tr>
      <w:tr w14:paraId="4C43B21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0D71543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94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2D0F98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9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099467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  <w:tc>
          <w:tcPr>
            <w:tcW w:w="9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CF2316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.250</w:t>
            </w:r>
          </w:p>
        </w:tc>
      </w:tr>
      <w:tr w14:paraId="3D061D2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6CF1807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530F1E1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0BE53D6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7DBC73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.250</w:t>
            </w:r>
          </w:p>
        </w:tc>
      </w:tr>
      <w:tr w14:paraId="1F903F1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6B86377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23BE55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57845BF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6C5BC7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.250</w:t>
            </w:r>
          </w:p>
        </w:tc>
      </w:tr>
      <w:tr w14:paraId="6C8584D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3C89D71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3DD6B4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6E6881A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50FE808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.000</w:t>
            </w:r>
          </w:p>
        </w:tc>
      </w:tr>
      <w:tr w14:paraId="74CBAAF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453C357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46DAB8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33251D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.000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0ABB74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</w:tr>
      <w:tr w14:paraId="6314CBF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50D0E1B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7C0219E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0.247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4A9B384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0.228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4C55F5E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0.525</w:t>
            </w:r>
          </w:p>
        </w:tc>
      </w:tr>
    </w:tbl>
    <w:p w14:paraId="2131CB95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14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368"/>
        <w:gridCol w:w="1368"/>
        <w:gridCol w:w="1369"/>
        <w:gridCol w:w="1369"/>
        <w:gridCol w:w="1369"/>
      </w:tblGrid>
      <w:tr w14:paraId="6CC5E18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7A6A86A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F023C8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E28EA4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C182A0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2585A0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A36B2F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6FC201B0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3DC2AAF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5757B9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0.333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6752FF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0.333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13217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0.333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3BE781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-</w:t>
            </w: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667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01B8154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0.667</w:t>
            </w:r>
          </w:p>
        </w:tc>
      </w:tr>
      <w:tr w14:paraId="5A4F70F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73634FEA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6E508C16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0182CDD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7A8222E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26FE0EE5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077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2A223495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293</w:t>
            </w:r>
          </w:p>
        </w:tc>
      </w:tr>
    </w:tbl>
    <w:p w14:paraId="25232B6B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420" w:firstLineChars="200"/>
        <w:jc w:val="both"/>
        <w:textAlignment w:val="auto"/>
        <w:rPr>
          <w:rFonts w:hint="default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抗风险性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</w:t>
      </w:r>
      <w:r>
        <w:rPr>
          <w:rFonts w:hint="eastAsia" w:ascii="Times New Roman" w:hAnsi="Times New Roman" w:cs="Times New Roman"/>
          <w:color w:val="000000"/>
          <w:kern w:val="2"/>
          <w:sz w:val="21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类别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中的缺失归一化层和错误的层类型权重分配数据</w:t>
      </w:r>
    </w:p>
    <w:p w14:paraId="3671571C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15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7"/>
        <w:tblW w:w="5000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0"/>
        <w:gridCol w:w="1488"/>
        <w:gridCol w:w="2916"/>
        <w:gridCol w:w="4358"/>
      </w:tblGrid>
      <w:tr w14:paraId="741B06F5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3742CA2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81E042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1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0FACDD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88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0D352CB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6A8D6838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87AA0C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8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162965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06D7508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69E2F90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(0.365,0.635)</w:t>
            </w:r>
          </w:p>
        </w:tc>
      </w:tr>
      <w:tr w14:paraId="7AB30FF7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43A14B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2BC9FF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7CE4263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20CE9A1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(0.365,0.635)</w:t>
            </w:r>
          </w:p>
        </w:tc>
      </w:tr>
      <w:tr w14:paraId="25715280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5EC615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9C0565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70AF195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70D8007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(0.259,0.741)</w:t>
            </w:r>
          </w:p>
        </w:tc>
      </w:tr>
      <w:tr w14:paraId="7DD96E7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EA91FA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BAE58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4F0503A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742A453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(0.635,0.365)</w:t>
            </w:r>
          </w:p>
        </w:tc>
      </w:tr>
      <w:tr w14:paraId="2098A99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391EFA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781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0F8B98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44AB9A4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72DBA6A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(0.259,0.741)</w:t>
            </w:r>
          </w:p>
        </w:tc>
      </w:tr>
    </w:tbl>
    <w:p w14:paraId="19BDEDAE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表16  5位专家排除自身后的平均秩次结果</w:t>
      </w:r>
    </w:p>
    <w:tbl>
      <w:tblPr>
        <w:tblStyle w:val="8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7"/>
        <w:gridCol w:w="2218"/>
        <w:gridCol w:w="2233"/>
      </w:tblGrid>
      <w:tr w14:paraId="2870A3C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5F5A9E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116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23F1CA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Times New Roman" w:hAnsi="Times New Roman" w:eastAsia="宋体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1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ub>
                </m:sSub>
              </m:oMath>
            </m:oMathPara>
          </w:p>
        </w:tc>
        <w:tc>
          <w:tcPr>
            <w:tcW w:w="1173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65F9A2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Times New Roman" w:hAnsi="Times New Roman" w:eastAsia="宋体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2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ub>
                </m:sSub>
              </m:oMath>
            </m:oMathPara>
          </w:p>
        </w:tc>
      </w:tr>
      <w:tr w14:paraId="5DC7AC4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D2FF6C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218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A607C6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  <w:tc>
          <w:tcPr>
            <w:tcW w:w="117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852159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</w:tr>
      <w:tr w14:paraId="024CB29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0D47A76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2B6D68B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6E7B1A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</w:tr>
      <w:tr w14:paraId="0E98EDC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55AEF63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45AD0FE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1F20C9E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</w:tr>
      <w:tr w14:paraId="1773EC0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0FD9ECC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1865B6D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6FD9195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1.000</w:t>
            </w:r>
          </w:p>
        </w:tc>
      </w:tr>
      <w:tr w14:paraId="4C9EBE2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1374B3C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57468F2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030B49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</w:tr>
      <w:tr w14:paraId="255BD96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4BC101F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1165" w:type="pct"/>
            <w:tcBorders>
              <w:tl2br w:val="nil"/>
              <w:tr2bl w:val="nil"/>
            </w:tcBorders>
            <w:vAlign w:val="center"/>
          </w:tcPr>
          <w:p w14:paraId="21A3901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0.678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05C4E2C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0.322</w:t>
            </w:r>
          </w:p>
        </w:tc>
      </w:tr>
    </w:tbl>
    <w:p w14:paraId="09B0C21F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17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368"/>
        <w:gridCol w:w="1368"/>
        <w:gridCol w:w="1369"/>
        <w:gridCol w:w="1369"/>
        <w:gridCol w:w="1369"/>
      </w:tblGrid>
      <w:tr w14:paraId="2A843024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060BF4F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D9148B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DA27EA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6457EE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188A82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119D1B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42685A2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99A7B6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1F74100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D04601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8E4BAE0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B0BA6F8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-1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7C5ECA1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</w:tr>
      <w:tr w14:paraId="42D7E66A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897FFA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66F5CA26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67F25E8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3D1C8DC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1C465888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033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FC8C84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</w:tr>
    </w:tbl>
    <w:p w14:paraId="59CCA71E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outlineLvl w:val="1"/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（2）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可用性</w:t>
      </w:r>
    </w:p>
    <w:p w14:paraId="4E6242D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介绍影响可用性属性的缺陷类别权重分配过程：首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先，各专家对5个缺陷类别按重要程度进行排序，并依据表2中的八级语言评价尺度，给出最重要缺陷类别相对于其余类别的模糊比较优先度。根据式（1）计算各专家的个人模糊权重，经去模糊化及归一化处理后得到个人权重向量，结果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18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所示。随后，将各专家的排序转换为秩向量，计算其余专家的平均秩次，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并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依据式（2）计算Kendall等级相关系数，如表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19、20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所示。最后，根据式（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）对各专家的权重进行加权融合，得到缺陷类别的群体综合权重，如表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19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同时，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对于</w:t>
      </w:r>
      <w:r>
        <w:rPr>
          <w:rFonts w:hint="eastAsia" w:ascii="Times New Roman" w:hAnsi="Times New Roman" w:cs="Times New Roman"/>
          <w:color w:val="000000"/>
          <w:kern w:val="2"/>
          <w:sz w:val="21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类别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中的缺失归一化层和错误的层类型，采用相同方法进一步计算其内部缺陷类型权重。</w:t>
      </w:r>
    </w:p>
    <w:p w14:paraId="64C02DE8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18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7"/>
        <w:tblW w:w="4998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6"/>
        <w:gridCol w:w="1487"/>
        <w:gridCol w:w="2914"/>
        <w:gridCol w:w="4361"/>
      </w:tblGrid>
      <w:tr w14:paraId="7F90315A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5A1E1F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C90676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0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614FB6F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90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61FE1D0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5443A35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90105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487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745A7A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2914" w:type="dxa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0DBB575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4361" w:type="dxa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64610FE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(0.259,0.741)</w:t>
            </w:r>
          </w:p>
        </w:tc>
      </w:tr>
      <w:tr w14:paraId="42DC4E73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EFC4E6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ED1645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2914" w:type="dxa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1CAD09D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4361" w:type="dxa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50FC37E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(0.259,0.741)</w:t>
            </w:r>
          </w:p>
        </w:tc>
      </w:tr>
      <w:tr w14:paraId="55C6E39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5B355F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69C4A5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2914" w:type="dxa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765C0F8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4361" w:type="dxa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7BED172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(0.365,0.635)</w:t>
            </w:r>
          </w:p>
        </w:tc>
      </w:tr>
      <w:tr w14:paraId="6AB9157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193F96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40284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2914" w:type="dxa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097A393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4361" w:type="dxa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4D1A7D6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(0.259,0.741)</w:t>
            </w:r>
          </w:p>
        </w:tc>
      </w:tr>
      <w:tr w14:paraId="51C27EA7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3BAC0F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487" w:type="dxa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3A99BA3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2914" w:type="dxa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7A1B097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4361" w:type="dxa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8C19BF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(0.365,0.635)</w:t>
            </w:r>
          </w:p>
        </w:tc>
      </w:tr>
    </w:tbl>
    <w:p w14:paraId="635ABE92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表19  5位专家排除自身后的平均秩次结果</w:t>
      </w:r>
    </w:p>
    <w:tbl>
      <w:tblPr>
        <w:tblStyle w:val="8"/>
        <w:tblW w:w="4999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9"/>
        <w:gridCol w:w="2217"/>
        <w:gridCol w:w="2234"/>
      </w:tblGrid>
      <w:tr w14:paraId="716D116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2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3C776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1164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7B61679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</w:p>
        </w:tc>
        <w:tc>
          <w:tcPr>
            <w:tcW w:w="1173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745DFB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К</w:t>
            </w:r>
          </w:p>
        </w:tc>
      </w:tr>
      <w:tr w14:paraId="2348663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2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0B39F75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16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6D04D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117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FE384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1B14BA3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2" w:type="pct"/>
            <w:tcBorders>
              <w:tl2br w:val="nil"/>
              <w:tr2bl w:val="nil"/>
            </w:tcBorders>
            <w:vAlign w:val="top"/>
          </w:tcPr>
          <w:p w14:paraId="798A40B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164" w:type="pct"/>
            <w:tcBorders>
              <w:tl2br w:val="nil"/>
              <w:tr2bl w:val="nil"/>
            </w:tcBorders>
            <w:vAlign w:val="center"/>
          </w:tcPr>
          <w:p w14:paraId="51497A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1C126B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5863619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2" w:type="pct"/>
            <w:tcBorders>
              <w:tl2br w:val="nil"/>
              <w:tr2bl w:val="nil"/>
            </w:tcBorders>
            <w:vAlign w:val="top"/>
          </w:tcPr>
          <w:p w14:paraId="386850A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164" w:type="pct"/>
            <w:tcBorders>
              <w:tl2br w:val="nil"/>
              <w:tr2bl w:val="nil"/>
            </w:tcBorders>
            <w:vAlign w:val="center"/>
          </w:tcPr>
          <w:p w14:paraId="0AD1462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5687087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1DA18C9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2" w:type="pct"/>
            <w:tcBorders>
              <w:tl2br w:val="nil"/>
              <w:tr2bl w:val="nil"/>
            </w:tcBorders>
            <w:vAlign w:val="top"/>
          </w:tcPr>
          <w:p w14:paraId="101146C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164" w:type="pct"/>
            <w:tcBorders>
              <w:tl2br w:val="nil"/>
              <w:tr2bl w:val="nil"/>
            </w:tcBorders>
            <w:vAlign w:val="center"/>
          </w:tcPr>
          <w:p w14:paraId="5802298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6C47D87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5E897A7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662" w:type="pct"/>
            <w:tcBorders>
              <w:tl2br w:val="nil"/>
              <w:tr2bl w:val="nil"/>
            </w:tcBorders>
            <w:vAlign w:val="top"/>
          </w:tcPr>
          <w:p w14:paraId="6274F1C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164" w:type="pct"/>
            <w:tcBorders>
              <w:tl2br w:val="nil"/>
              <w:tr2bl w:val="nil"/>
            </w:tcBorders>
            <w:vAlign w:val="center"/>
          </w:tcPr>
          <w:p w14:paraId="3564EE5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158AE30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647DAD0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2" w:type="pct"/>
            <w:tcBorders>
              <w:tl2br w:val="nil"/>
              <w:tr2bl w:val="nil"/>
            </w:tcBorders>
            <w:vAlign w:val="top"/>
          </w:tcPr>
          <w:p w14:paraId="285B59A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1164" w:type="pct"/>
            <w:tcBorders>
              <w:tl2br w:val="nil"/>
              <w:tr2bl w:val="nil"/>
            </w:tcBorders>
            <w:vAlign w:val="center"/>
          </w:tcPr>
          <w:p w14:paraId="3ECF63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0.699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4181CB8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0.301</w:t>
            </w:r>
          </w:p>
        </w:tc>
      </w:tr>
    </w:tbl>
    <w:p w14:paraId="6F276FA2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20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019"/>
        <w:gridCol w:w="1717"/>
        <w:gridCol w:w="1369"/>
        <w:gridCol w:w="1369"/>
        <w:gridCol w:w="1369"/>
      </w:tblGrid>
      <w:tr w14:paraId="132151D5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AFED7E0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53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9F9E7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90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3E8BA6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4021E5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34D3CA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04DF78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4175B8DA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D08FD95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535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BFE2DB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90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EC0947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8A4703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D3428A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8D2B8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</w:tr>
      <w:tr w14:paraId="045E345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4EA79BDE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535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06D4DFD1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901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334DAE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57A3FB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F39505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471154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00</w:t>
            </w:r>
          </w:p>
        </w:tc>
      </w:tr>
    </w:tbl>
    <w:p w14:paraId="5242C08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/>
        <w:textAlignment w:val="auto"/>
      </w:pPr>
    </w:p>
    <w:p w14:paraId="0A245699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outlineLvl w:val="1"/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（3）正确性</w:t>
      </w:r>
    </w:p>
    <w:p w14:paraId="4BC163DE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介绍影响正确性属性的缺陷类别权重分配过程：首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先，各专家对5个缺陷类别按重要程度进行排序，并依据表2中的八级语言评价尺度，给出最重要缺陷类别相对于其余类别的模糊比较优先度。根据式（1）计算各专家的个人模糊权重，经去模糊化及归一化处理后得到个人权重向量，结果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21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所示。随后，将各专家的排序转换为秩向量，计算其余专家的平均秩次，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并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依据式（2）计算Kendall等级相关系数，如表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22、23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所示。最后，根据式（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）对各专家的权重进行加权融合，得到缺陷类别的群体综合权重，如表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22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同时，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对于</w:t>
      </w:r>
      <w:r>
        <w:rPr>
          <w:rFonts w:hint="eastAsia" w:ascii="Times New Roman" w:hAnsi="Times New Roman" w:cs="Times New Roman"/>
          <w:color w:val="000000"/>
          <w:kern w:val="2"/>
          <w:sz w:val="21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类别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中的缺失归一化层和错误的层类型，采用相同方法进一步计算其内部缺陷类型权重。</w:t>
      </w:r>
    </w:p>
    <w:p w14:paraId="7A269181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21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7"/>
        <w:tblW w:w="4998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6"/>
        <w:gridCol w:w="1487"/>
        <w:gridCol w:w="2914"/>
        <w:gridCol w:w="4361"/>
      </w:tblGrid>
      <w:tr w14:paraId="29DE7CD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33E739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2EB6B8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0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1127EB9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90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18E3ABD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6A242C5B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3A72BF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487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6F8A4F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2914" w:type="dxa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3AC5D4E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[(1,1,1),(1,2,3),(1,2,3),(1,2,3)]</w:t>
            </w:r>
          </w:p>
        </w:tc>
        <w:tc>
          <w:tcPr>
            <w:tcW w:w="2290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5E54CF3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(0.212,0.361,0.213,0.213)</w:t>
            </w:r>
          </w:p>
        </w:tc>
      </w:tr>
      <w:tr w14:paraId="7E44560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CA54EC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37A7AA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2914" w:type="dxa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2B8DB0E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[(1,1,1),(1,2,3),(2,3,4),(4,5,6)]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65F24D8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(0.162,0.456,0.119,0.264)</w:t>
            </w:r>
          </w:p>
        </w:tc>
      </w:tr>
      <w:tr w14:paraId="15E845CD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56CE28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5DF612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2914" w:type="dxa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44EA984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[(1,1,1),(1,2,3),(1,2,3),(4,5,6)]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56C4AEB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(0.412,0.240,0.108,0.240)</w:t>
            </w:r>
          </w:p>
        </w:tc>
      </w:tr>
      <w:tr w14:paraId="46852B2B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8AEEA4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E43941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</w:p>
        </w:tc>
        <w:tc>
          <w:tcPr>
            <w:tcW w:w="2914" w:type="dxa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45C7518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[(1,1,1),(1,2,3),(1,2,3),(2,3,4)]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4063FE2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(0.231,0.396,0.231,0.142)</w:t>
            </w:r>
          </w:p>
        </w:tc>
      </w:tr>
      <w:tr w14:paraId="2FF465C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622012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487" w:type="dxa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A01CDA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2914" w:type="dxa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3656C7C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[(1,1,1),(2,3,4),(2,3,4),(2,3,4)]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C97CE9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(0.172,0.172,0.172,0.484)</w:t>
            </w:r>
          </w:p>
        </w:tc>
      </w:tr>
    </w:tbl>
    <w:p w14:paraId="3AA2CBEE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表22  5位专家排除自身后的平均秩次结果</w:t>
      </w:r>
    </w:p>
    <w:tbl>
      <w:tblPr>
        <w:tblStyle w:val="8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50"/>
        <w:gridCol w:w="1508"/>
        <w:gridCol w:w="1520"/>
        <w:gridCol w:w="1520"/>
        <w:gridCol w:w="1520"/>
      </w:tblGrid>
      <w:tr w14:paraId="1F30216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2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4AE88B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792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AB3E7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</w:p>
        </w:tc>
        <w:tc>
          <w:tcPr>
            <w:tcW w:w="798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94A98C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</w:p>
        </w:tc>
        <w:tc>
          <w:tcPr>
            <w:tcW w:w="798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5F396DA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Ω</w:t>
            </w:r>
          </w:p>
        </w:tc>
        <w:tc>
          <w:tcPr>
            <w:tcW w:w="798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562717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Ё</w:t>
            </w:r>
          </w:p>
        </w:tc>
      </w:tr>
      <w:tr w14:paraId="3CAA891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2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75B0458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9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6AC36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79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977D46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79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4CDC0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3.000</w:t>
            </w:r>
          </w:p>
        </w:tc>
        <w:tc>
          <w:tcPr>
            <w:tcW w:w="79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63525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</w:tr>
      <w:tr w14:paraId="060B288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812" w:type="pct"/>
            <w:tcBorders>
              <w:tl2br w:val="nil"/>
              <w:tr2bl w:val="nil"/>
            </w:tcBorders>
            <w:vAlign w:val="top"/>
          </w:tcPr>
          <w:p w14:paraId="03C5B08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792" w:type="pct"/>
            <w:tcBorders>
              <w:tl2br w:val="nil"/>
              <w:tr2bl w:val="nil"/>
            </w:tcBorders>
            <w:vAlign w:val="center"/>
          </w:tcPr>
          <w:p w14:paraId="052460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  <w:tc>
          <w:tcPr>
            <w:tcW w:w="1520" w:type="dxa"/>
            <w:tcBorders>
              <w:tl2br w:val="nil"/>
              <w:tr2bl w:val="nil"/>
            </w:tcBorders>
            <w:vAlign w:val="center"/>
          </w:tcPr>
          <w:p w14:paraId="5A2C69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1604A9C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1D110CC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</w:tr>
      <w:tr w14:paraId="3C816EA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2" w:type="pct"/>
            <w:tcBorders>
              <w:tl2br w:val="nil"/>
              <w:tr2bl w:val="nil"/>
            </w:tcBorders>
            <w:vAlign w:val="top"/>
          </w:tcPr>
          <w:p w14:paraId="3BFCAE1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792" w:type="pct"/>
            <w:tcBorders>
              <w:tl2br w:val="nil"/>
              <w:tr2bl w:val="nil"/>
            </w:tcBorders>
            <w:vAlign w:val="center"/>
          </w:tcPr>
          <w:p w14:paraId="33F816E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  <w:tc>
          <w:tcPr>
            <w:tcW w:w="1520" w:type="dxa"/>
            <w:tcBorders>
              <w:tl2br w:val="nil"/>
              <w:tr2bl w:val="nil"/>
            </w:tcBorders>
            <w:vAlign w:val="center"/>
          </w:tcPr>
          <w:p w14:paraId="3DF327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.250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1C7D84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39D5635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</w:tr>
      <w:tr w14:paraId="5E691BE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2" w:type="pct"/>
            <w:tcBorders>
              <w:tl2br w:val="nil"/>
              <w:tr2bl w:val="nil"/>
            </w:tcBorders>
            <w:vAlign w:val="top"/>
          </w:tcPr>
          <w:p w14:paraId="1FE836A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792" w:type="pct"/>
            <w:tcBorders>
              <w:tl2br w:val="nil"/>
              <w:tr2bl w:val="nil"/>
            </w:tcBorders>
            <w:vAlign w:val="center"/>
          </w:tcPr>
          <w:p w14:paraId="1A8D36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1520" w:type="dxa"/>
            <w:tcBorders>
              <w:tl2br w:val="nil"/>
              <w:tr2bl w:val="nil"/>
            </w:tcBorders>
            <w:vAlign w:val="center"/>
          </w:tcPr>
          <w:p w14:paraId="1BAFDF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647593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3.000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76AC34B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.750</w:t>
            </w:r>
          </w:p>
        </w:tc>
      </w:tr>
      <w:tr w14:paraId="1D764D2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812" w:type="pct"/>
            <w:tcBorders>
              <w:tl2br w:val="nil"/>
              <w:tr2bl w:val="nil"/>
            </w:tcBorders>
            <w:vAlign w:val="top"/>
          </w:tcPr>
          <w:p w14:paraId="3D01B7F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792" w:type="pct"/>
            <w:tcBorders>
              <w:tl2br w:val="nil"/>
              <w:tr2bl w:val="nil"/>
            </w:tcBorders>
            <w:vAlign w:val="center"/>
          </w:tcPr>
          <w:p w14:paraId="43BA81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1520" w:type="dxa"/>
            <w:tcBorders>
              <w:tl2br w:val="nil"/>
              <w:tr2bl w:val="nil"/>
            </w:tcBorders>
            <w:vAlign w:val="center"/>
          </w:tcPr>
          <w:p w14:paraId="0CCABF3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.250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1C08C56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3.000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20C9D33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</w:tr>
      <w:tr w14:paraId="0721A3F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2" w:type="pct"/>
            <w:tcBorders>
              <w:tl2br w:val="nil"/>
              <w:tr2bl w:val="nil"/>
            </w:tcBorders>
            <w:vAlign w:val="top"/>
          </w:tcPr>
          <w:p w14:paraId="14CE7BC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792" w:type="pct"/>
            <w:tcBorders>
              <w:tl2br w:val="nil"/>
              <w:tr2bl w:val="nil"/>
            </w:tcBorders>
            <w:vAlign w:val="center"/>
          </w:tcPr>
          <w:p w14:paraId="445814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0.237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16F17D7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0.346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5B830DE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0.164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03EC743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0.253</w:t>
            </w:r>
          </w:p>
        </w:tc>
      </w:tr>
    </w:tbl>
    <w:p w14:paraId="4AC076C3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23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368"/>
        <w:gridCol w:w="1368"/>
        <w:gridCol w:w="1369"/>
        <w:gridCol w:w="1369"/>
        <w:gridCol w:w="1369"/>
      </w:tblGrid>
      <w:tr w14:paraId="5158F527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2D9E98C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3D611A0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BC0046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87086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449BF2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3ADC4E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51C4D9D4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BEA382E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5953E6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0.500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5DF447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0.667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4CA69A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0.333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17EC484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0.167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FED8FBC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-0.167</w:t>
            </w:r>
          </w:p>
        </w:tc>
      </w:tr>
      <w:tr w14:paraId="1365AD0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352D86A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467DF83F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35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62B7FA7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77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747C212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199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4663EC87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168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1308B24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121</w:t>
            </w:r>
          </w:p>
        </w:tc>
      </w:tr>
    </w:tbl>
    <w:p w14:paraId="4DE25CC4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420" w:firstLineChars="200"/>
        <w:jc w:val="both"/>
        <w:textAlignment w:val="auto"/>
        <w:rPr>
          <w:rFonts w:hint="default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正确性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</w:t>
      </w:r>
      <w:r>
        <w:rPr>
          <w:rFonts w:hint="eastAsia" w:ascii="Times New Roman" w:hAnsi="Times New Roman" w:cs="Times New Roman"/>
          <w:color w:val="000000"/>
          <w:kern w:val="2"/>
          <w:sz w:val="21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类别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中的缺失归一化层和错误的层类型权重分配</w:t>
      </w:r>
    </w:p>
    <w:p w14:paraId="706970D6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24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7"/>
        <w:tblW w:w="5000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0"/>
        <w:gridCol w:w="1488"/>
        <w:gridCol w:w="2916"/>
        <w:gridCol w:w="4358"/>
      </w:tblGrid>
      <w:tr w14:paraId="53695210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CF6DDB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2DE4C3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1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469D360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88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6D987C6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038FE40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712793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8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49B393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5B2723E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2288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6A131CB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(0.741,0.259)</w:t>
            </w:r>
          </w:p>
        </w:tc>
      </w:tr>
      <w:tr w14:paraId="15E4D2DD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1851BE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FD785B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6EA8BA2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0E0BF2A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(0.635,0.365)</w:t>
            </w:r>
          </w:p>
        </w:tc>
      </w:tr>
      <w:tr w14:paraId="3E3A4D0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A3A5F3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5B5699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1727824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5848F5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(0.741,0.259)</w:t>
            </w:r>
          </w:p>
        </w:tc>
      </w:tr>
      <w:tr w14:paraId="3308F25E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E4D0A7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555504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55EFF05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1B1A788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(0.365,0.635)</w:t>
            </w:r>
          </w:p>
        </w:tc>
      </w:tr>
      <w:tr w14:paraId="328AC04A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8211D7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781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3A68764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23CB16B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4FFFAA2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(0.635,0.365)</w:t>
            </w:r>
          </w:p>
        </w:tc>
      </w:tr>
    </w:tbl>
    <w:p w14:paraId="015804A4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表25  5位专家排除自身后的平均秩次结果</w:t>
      </w:r>
    </w:p>
    <w:tbl>
      <w:tblPr>
        <w:tblStyle w:val="8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7"/>
        <w:gridCol w:w="2218"/>
        <w:gridCol w:w="2233"/>
      </w:tblGrid>
      <w:tr w14:paraId="615189B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BFDC70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116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1A96B1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Times New Roman" w:hAnsi="Times New Roman" w:eastAsia="宋体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1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ub>
                </m:sSub>
              </m:oMath>
            </m:oMathPara>
          </w:p>
        </w:tc>
        <w:tc>
          <w:tcPr>
            <w:tcW w:w="1173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774FEC9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Times New Roman" w:hAnsi="Times New Roman" w:eastAsia="宋体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2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ub>
                </m:sSub>
              </m:oMath>
            </m:oMathPara>
          </w:p>
        </w:tc>
      </w:tr>
      <w:tr w14:paraId="62C7658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7D157A6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218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BD51F0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117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784700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</w:tr>
      <w:tr w14:paraId="6C9CF53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1822B94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512CF03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341BB9E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</w:tr>
      <w:tr w14:paraId="69A90F4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02A9154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78EE95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7F608D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</w:tr>
      <w:tr w14:paraId="3574AC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59E8AB8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5B114B9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1.000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73B471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</w:tr>
      <w:tr w14:paraId="14C25D8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3AE7BD0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781081D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01EF9D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</w:tr>
      <w:tr w14:paraId="6FC5130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2440CF2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1165" w:type="pct"/>
            <w:tcBorders>
              <w:tl2br w:val="nil"/>
              <w:tr2bl w:val="nil"/>
            </w:tcBorders>
            <w:vAlign w:val="center"/>
          </w:tcPr>
          <w:p w14:paraId="293C6B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0.322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4A60F57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0.678</w:t>
            </w:r>
          </w:p>
        </w:tc>
      </w:tr>
    </w:tbl>
    <w:p w14:paraId="112DC8B1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26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368"/>
        <w:gridCol w:w="1368"/>
        <w:gridCol w:w="1369"/>
        <w:gridCol w:w="1369"/>
        <w:gridCol w:w="1369"/>
      </w:tblGrid>
      <w:tr w14:paraId="7AA0AD3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9A1570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C933DB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C5AD71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34DE6F0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6A7141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692584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4189039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EA2896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A954BAA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13B6A0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0A5B5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43AD37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-1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5CA1610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</w:tr>
      <w:tr w14:paraId="502ABF60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44E03C45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235B72E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7E241F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21356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05A601A4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033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17FCA626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</w:tr>
    </w:tbl>
    <w:p w14:paraId="0C5D662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outlineLvl w:val="1"/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（4）性能</w:t>
      </w:r>
    </w:p>
    <w:p w14:paraId="6C5CAB3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介绍影响性能属性的缺陷类别权重分配过程：首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先，各专家对5个缺陷类别按重要程度进行排序，并依据表2中的八级语言评价尺度，给出最重要缺陷类别相对于其余类别的模糊比较优先度。根据式（1）计算各专家的个人模糊权重，经去模糊化及归一化处理后得到个人权重向量，结果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27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所示。随后，将各专家的排序转换为秩向量，计算其余专家的平均秩次，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并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依据式（2）计算Kendall等级相关系数，如表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28、29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所示。最后，根据式（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）对各专家的权重进行加权融合，得到缺陷类别的群体综合权重，如表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28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同时，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对于</w:t>
      </w:r>
      <w:r>
        <w:rPr>
          <w:rFonts w:hint="eastAsia" w:ascii="Times New Roman" w:hAnsi="Times New Roman" w:cs="Times New Roman"/>
          <w:color w:val="000000"/>
          <w:kern w:val="2"/>
          <w:sz w:val="21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类别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中的缺失归一化层和错误的层类型，采用相同方法进一步计算其内部缺陷类型权重。</w:t>
      </w:r>
    </w:p>
    <w:p w14:paraId="2DC145A6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27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7"/>
        <w:tblW w:w="4998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6"/>
        <w:gridCol w:w="1487"/>
        <w:gridCol w:w="2914"/>
        <w:gridCol w:w="4361"/>
      </w:tblGrid>
      <w:tr w14:paraId="68428123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8F8D1B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3E74567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0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6D66E1C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90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1FB4FB6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7D5442C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097E3D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487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A7AF4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2914" w:type="dxa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71BCB26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[(1,1,1),(1,2,3),(2,3,4)]</w:t>
            </w:r>
          </w:p>
        </w:tc>
        <w:tc>
          <w:tcPr>
            <w:tcW w:w="2290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1715F77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(0.517,0.184,0.299)</w:t>
            </w:r>
          </w:p>
        </w:tc>
      </w:tr>
      <w:tr w14:paraId="649FD3B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2CF5A8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4D3C98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2914" w:type="dxa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6C8F784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1034144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(0.314,0.142,0.545)</w:t>
            </w:r>
          </w:p>
        </w:tc>
      </w:tr>
      <w:tr w14:paraId="3FE4636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AED76A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D4BC53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2914" w:type="dxa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30039F9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08A2089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(0.545,0.142,0.314)</w:t>
            </w:r>
          </w:p>
        </w:tc>
      </w:tr>
      <w:tr w14:paraId="097937B4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89220A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7D891E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</w:p>
        </w:tc>
        <w:tc>
          <w:tcPr>
            <w:tcW w:w="2914" w:type="dxa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4A71783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[(1,1,1),(1,2,3),(2,3,4)]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3E69C93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(0.517,0.299,0.184)</w:t>
            </w:r>
          </w:p>
        </w:tc>
      </w:tr>
      <w:tr w14:paraId="137198B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753C55A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487" w:type="dxa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784D345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2914" w:type="dxa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6D02FAF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[(1,1,1),(2,3,4),(2,3,4)]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05F0234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(0.207,0.207,0.586)</w:t>
            </w:r>
          </w:p>
        </w:tc>
      </w:tr>
    </w:tbl>
    <w:p w14:paraId="1A022593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表28  5位专家排除自身后的平均秩次结果</w:t>
      </w:r>
    </w:p>
    <w:tbl>
      <w:tblPr>
        <w:tblStyle w:val="8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04"/>
        <w:gridCol w:w="1796"/>
        <w:gridCol w:w="1809"/>
        <w:gridCol w:w="1809"/>
      </w:tblGrid>
      <w:tr w14:paraId="2BB5A91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509F7A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943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37CD1E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</w:p>
        </w:tc>
        <w:tc>
          <w:tcPr>
            <w:tcW w:w="950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F0A24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Ω</w:t>
            </w:r>
          </w:p>
        </w:tc>
        <w:tc>
          <w:tcPr>
            <w:tcW w:w="950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797CC2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Ё</w:t>
            </w:r>
          </w:p>
        </w:tc>
      </w:tr>
      <w:tr w14:paraId="537B192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748B87D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94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F1547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9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65CED6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  <w:tc>
          <w:tcPr>
            <w:tcW w:w="9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C78E0E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.750</w:t>
            </w:r>
          </w:p>
        </w:tc>
      </w:tr>
      <w:tr w14:paraId="67B56B3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40D836B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7DA3B98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2828535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1F2BD4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</w:tr>
      <w:tr w14:paraId="322149F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4CE1C76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5E71E0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39E47A3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3202B53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.750</w:t>
            </w:r>
          </w:p>
        </w:tc>
      </w:tr>
      <w:tr w14:paraId="4EF5AA9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26E22E5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249EB42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2E6655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2.750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34C864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.500</w:t>
            </w:r>
          </w:p>
        </w:tc>
      </w:tr>
      <w:tr w14:paraId="25F1E40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00D323F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0A8B4A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6B4E87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.750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45D847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</w:tr>
      <w:tr w14:paraId="0E6CDF3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61816C4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1B21584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0.459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1F4AD66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787E8E9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0.362</w:t>
            </w:r>
          </w:p>
        </w:tc>
      </w:tr>
    </w:tbl>
    <w:p w14:paraId="6A279785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29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368"/>
        <w:gridCol w:w="1368"/>
        <w:gridCol w:w="1369"/>
        <w:gridCol w:w="1369"/>
        <w:gridCol w:w="1369"/>
      </w:tblGrid>
      <w:tr w14:paraId="73823DF5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A3F4906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13CF63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51717A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1E5FF9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5CEF28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F3EAD3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6BDE9DB4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6227FFB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C4D1DB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1.000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018806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0.333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DBC1B0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1.000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87DD8E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AC1BF6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</w:t>
            </w:r>
          </w:p>
        </w:tc>
      </w:tr>
      <w:tr w14:paraId="106C89B5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0A16F07C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236BCDCB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308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EAAFB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158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0DCB38B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308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4D34B620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113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3023556B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113</w:t>
            </w:r>
          </w:p>
        </w:tc>
      </w:tr>
    </w:tbl>
    <w:p w14:paraId="104EF8A0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420" w:firstLineChars="200"/>
        <w:jc w:val="both"/>
        <w:textAlignment w:val="auto"/>
        <w:rPr>
          <w:rFonts w:hint="default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性能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</w:t>
      </w:r>
      <w:r>
        <w:rPr>
          <w:rFonts w:hint="eastAsia" w:ascii="Times New Roman" w:hAnsi="Times New Roman" w:cs="Times New Roman"/>
          <w:color w:val="000000"/>
          <w:kern w:val="2"/>
          <w:sz w:val="21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类别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中的缺失归一化层和错误的层类型权重分配</w:t>
      </w:r>
    </w:p>
    <w:p w14:paraId="09A81C0F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30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7"/>
        <w:tblW w:w="5000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0"/>
        <w:gridCol w:w="1488"/>
        <w:gridCol w:w="2916"/>
        <w:gridCol w:w="4358"/>
      </w:tblGrid>
      <w:tr w14:paraId="152A06D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617FD7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2692CD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1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31F3707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88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417B2ED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4E0D4B28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3FBF4D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8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A65AEA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448E302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2288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08C616B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(0.741,0.259)</w:t>
            </w:r>
          </w:p>
        </w:tc>
      </w:tr>
      <w:tr w14:paraId="3F039374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AB1A24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DA8228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19C48C1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5C284CF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(0.635,0.365)</w:t>
            </w:r>
          </w:p>
        </w:tc>
      </w:tr>
      <w:tr w14:paraId="5CEEC0F5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8F8D6D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C85C6D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1114ECD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3BDA8E0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(0.365,0.635)</w:t>
            </w:r>
          </w:p>
        </w:tc>
      </w:tr>
      <w:tr w14:paraId="21641DA8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1AAA1C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815115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6066E04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05FDFD6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(0.635,0.365)</w:t>
            </w:r>
          </w:p>
        </w:tc>
      </w:tr>
      <w:tr w14:paraId="7F365559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0D1C17D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781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3B8E461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74BA97C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25572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(0.741,0.259)</w:t>
            </w:r>
          </w:p>
        </w:tc>
      </w:tr>
    </w:tbl>
    <w:p w14:paraId="61E4DDCF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表31 5位专家排除自身后的平均秩次结果</w:t>
      </w:r>
    </w:p>
    <w:tbl>
      <w:tblPr>
        <w:tblStyle w:val="8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7"/>
        <w:gridCol w:w="2218"/>
        <w:gridCol w:w="2233"/>
      </w:tblGrid>
      <w:tr w14:paraId="7CA357D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369317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116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2FE47A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Times New Roman" w:hAnsi="Times New Roman" w:eastAsia="宋体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1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ub>
                </m:sSub>
              </m:oMath>
            </m:oMathPara>
          </w:p>
        </w:tc>
        <w:tc>
          <w:tcPr>
            <w:tcW w:w="1173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5C253A4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Times New Roman" w:hAnsi="Times New Roman" w:eastAsia="宋体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2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ub>
                </m:sSub>
              </m:oMath>
            </m:oMathPara>
          </w:p>
        </w:tc>
      </w:tr>
      <w:tr w14:paraId="69420DD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395E72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218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6ED046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117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8D2E6E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</w:tr>
      <w:tr w14:paraId="7BCF8D8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62A5DB0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67A74A9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21AA5ED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</w:tr>
      <w:tr w14:paraId="359B061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4BE1321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2E459D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1.000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5313D1A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</w:tr>
      <w:tr w14:paraId="31A8261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44A6C35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40A7CF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1883DC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</w:tr>
      <w:tr w14:paraId="2976227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1BCE4D0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1FA0C36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030035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</w:tr>
      <w:tr w14:paraId="12FAB52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38E07A3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1165" w:type="pct"/>
            <w:tcBorders>
              <w:tl2br w:val="nil"/>
              <w:tr2bl w:val="nil"/>
            </w:tcBorders>
            <w:vAlign w:val="center"/>
          </w:tcPr>
          <w:p w14:paraId="0D7B5E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0.323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5804605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0.678</w:t>
            </w:r>
          </w:p>
        </w:tc>
      </w:tr>
    </w:tbl>
    <w:p w14:paraId="4ADD0B50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32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368"/>
        <w:gridCol w:w="1368"/>
        <w:gridCol w:w="1369"/>
        <w:gridCol w:w="1369"/>
        <w:gridCol w:w="1369"/>
      </w:tblGrid>
      <w:tr w14:paraId="6AF88EF0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078A53B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1DFF56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226E87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B0F20B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851EA0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3C894C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5312B95E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4BF1D8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51873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37DDD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A52738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-1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F3FC7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DB586A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</w:tr>
      <w:tr w14:paraId="3176C19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45FEF28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4253A137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225FA3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69B5E15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033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421BD0CF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1E67C257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</w:tr>
    </w:tbl>
    <w:p w14:paraId="578BA1B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/>
        <w:textAlignment w:val="auto"/>
        <w:rPr>
          <w:rFonts w:hint="eastAsia"/>
          <w:lang w:val="en-US" w:eastAsia="zh-CN"/>
        </w:rPr>
      </w:pPr>
    </w:p>
    <w:p w14:paraId="01BAA3D6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/>
        <w:textAlignment w:val="auto"/>
        <w:outlineLvl w:val="1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可信属性缺陷值</w:t>
      </w:r>
      <w:r>
        <w:rPr>
          <w:rFonts w:hint="default" w:ascii="Times New Roman" w:hAnsi="Times New Roman" w:cs="Times New Roman"/>
          <w:lang w:val="en-US" w:eastAsia="zh-CN"/>
        </w:rPr>
        <w:t>权重汇总</w:t>
      </w:r>
    </w:p>
    <w:p w14:paraId="5CA1C20E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33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8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7"/>
        <w:gridCol w:w="1118"/>
        <w:gridCol w:w="1118"/>
        <w:gridCol w:w="1119"/>
        <w:gridCol w:w="1119"/>
        <w:gridCol w:w="1119"/>
        <w:gridCol w:w="1119"/>
        <w:gridCol w:w="1119"/>
      </w:tblGrid>
      <w:tr w14:paraId="657F28E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6" w:type="pct"/>
            <w:tcBorders>
              <w:bottom w:val="single" w:color="auto" w:sz="4" w:space="0"/>
            </w:tcBorders>
            <w:vAlign w:val="top"/>
          </w:tcPr>
          <w:p w14:paraId="6F116AA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可信属性</w:t>
            </w:r>
          </w:p>
        </w:tc>
        <w:tc>
          <w:tcPr>
            <w:tcW w:w="587" w:type="pct"/>
            <w:tcBorders>
              <w:bottom w:val="single" w:color="auto" w:sz="4" w:space="0"/>
            </w:tcBorders>
            <w:vAlign w:val="top"/>
          </w:tcPr>
          <w:p w14:paraId="39FFDE8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587" w:type="pct"/>
            <w:tcBorders>
              <w:bottom w:val="single" w:color="auto" w:sz="4" w:space="0"/>
            </w:tcBorders>
            <w:vAlign w:val="top"/>
          </w:tcPr>
          <w:p w14:paraId="0A12554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</w:p>
        </w:tc>
        <w:tc>
          <w:tcPr>
            <w:tcW w:w="587" w:type="pct"/>
            <w:tcBorders>
              <w:bottom w:val="single" w:color="auto" w:sz="4" w:space="0"/>
            </w:tcBorders>
            <w:vAlign w:val="top"/>
          </w:tcPr>
          <w:p w14:paraId="7169052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</w:p>
        </w:tc>
        <w:tc>
          <w:tcPr>
            <w:tcW w:w="587" w:type="pct"/>
            <w:tcBorders>
              <w:bottom w:val="single" w:color="auto" w:sz="4" w:space="0"/>
            </w:tcBorders>
            <w:vAlign w:val="top"/>
          </w:tcPr>
          <w:p w14:paraId="2C4F7A8E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587" w:type="pct"/>
            <w:tcBorders>
              <w:bottom w:val="single" w:color="auto" w:sz="4" w:space="0"/>
            </w:tcBorders>
            <w:vAlign w:val="top"/>
          </w:tcPr>
          <w:p w14:paraId="17D78816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</w:p>
        </w:tc>
        <w:tc>
          <w:tcPr>
            <w:tcW w:w="587" w:type="pct"/>
            <w:tcBorders>
              <w:bottom w:val="single" w:color="auto" w:sz="4" w:space="0"/>
            </w:tcBorders>
            <w:vAlign w:val="top"/>
          </w:tcPr>
          <w:p w14:paraId="227E5F73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宋体" w:cs="Times New Roman"/>
                        <w:i/>
                        <w:color w:val="000000"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sSub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eastAsia="宋体" w:cs="Times New Roman"/>
                        <w:b w:val="0"/>
                        <w:i w:val="0"/>
                        <w:color w:val="000000"/>
                        <w:kern w:val="2"/>
                        <w:sz w:val="18"/>
                        <w:szCs w:val="18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eastAsia="宋体" w:cs="Times New Roman"/>
                        <w:i/>
                        <w:color w:val="000000"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eastAsia="宋体" w:cs="Times New Roman"/>
                        <w:b w:val="0"/>
                        <w:i w:val="0"/>
                        <w:color w:val="000000"/>
                        <w:kern w:val="2"/>
                        <w:sz w:val="18"/>
                        <w:szCs w:val="18"/>
                        <w:lang w:val="en-US" w:eastAsia="zh-CN" w:bidi="ar"/>
                      </w:rPr>
                      <m:t>1</m:t>
                    </m:r>
                    <m:ctrlPr>
                      <w:rPr>
                        <w:rFonts w:hint="default" w:ascii="Cambria Math" w:hAnsi="Cambria Math" w:eastAsia="宋体" w:cs="Times New Roman"/>
                        <w:i/>
                        <w:color w:val="000000"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sub>
                </m:sSub>
              </m:oMath>
            </m:oMathPara>
          </w:p>
        </w:tc>
        <w:tc>
          <w:tcPr>
            <w:tcW w:w="587" w:type="pct"/>
            <w:tcBorders>
              <w:bottom w:val="single" w:color="auto" w:sz="4" w:space="0"/>
            </w:tcBorders>
            <w:vAlign w:val="top"/>
          </w:tcPr>
          <w:p w14:paraId="29B1AC29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宋体" w:cs="Times New Roman"/>
                        <w:i/>
                        <w:color w:val="000000"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sSub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eastAsia="宋体" w:cs="Times New Roman"/>
                        <w:b w:val="0"/>
                        <w:i w:val="0"/>
                        <w:color w:val="000000"/>
                        <w:kern w:val="2"/>
                        <w:sz w:val="18"/>
                        <w:szCs w:val="18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eastAsia="宋体" w:cs="Times New Roman"/>
                        <w:i/>
                        <w:color w:val="000000"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eastAsia="宋体" w:cs="Times New Roman"/>
                        <w:b w:val="0"/>
                        <w:i w:val="0"/>
                        <w:color w:val="000000"/>
                        <w:kern w:val="2"/>
                        <w:sz w:val="18"/>
                        <w:szCs w:val="18"/>
                        <w:lang w:val="en-US" w:eastAsia="zh-CN" w:bidi="ar"/>
                      </w:rPr>
                      <m:t>2</m:t>
                    </m:r>
                    <m:ctrlPr>
                      <w:rPr>
                        <w:rFonts w:hint="default" w:ascii="Cambria Math" w:hAnsi="Cambria Math" w:eastAsia="宋体" w:cs="Times New Roman"/>
                        <w:i/>
                        <w:color w:val="000000"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sub>
                </m:sSub>
              </m:oMath>
            </m:oMathPara>
          </w:p>
        </w:tc>
      </w:tr>
      <w:tr w14:paraId="32E4F0C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6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24294BDD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安全性</w:t>
            </w:r>
          </w:p>
        </w:tc>
        <w:tc>
          <w:tcPr>
            <w:tcW w:w="587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7F2A3137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1.000</w:t>
            </w:r>
          </w:p>
        </w:tc>
        <w:tc>
          <w:tcPr>
            <w:tcW w:w="587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06BCA46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1C100BE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20C38699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FBD5066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11AD3FD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16AF07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</w:tr>
      <w:tr w14:paraId="549DC5F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6" w:type="pct"/>
            <w:tcBorders>
              <w:tl2br w:val="nil"/>
              <w:tr2bl w:val="nil"/>
            </w:tcBorders>
            <w:vAlign w:val="top"/>
          </w:tcPr>
          <w:p w14:paraId="1FB0F23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正确性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606C479C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2DCFA12B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0.237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6DB0AEB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0.346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5931D45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0.164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0A7AA4F7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0.253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7758E267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0.322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2C4AB50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0.678</w:t>
            </w:r>
          </w:p>
        </w:tc>
      </w:tr>
      <w:tr w14:paraId="7A5243D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6" w:type="pct"/>
            <w:tcBorders>
              <w:tl2br w:val="nil"/>
              <w:tr2bl w:val="nil"/>
            </w:tcBorders>
            <w:vAlign w:val="top"/>
          </w:tcPr>
          <w:p w14:paraId="26BAA9B6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可靠性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2E4A1FAE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0.142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2E887A4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0.199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55E1D3FE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0.293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49146666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0.146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683BD683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0.221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3EB227F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0.391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5721B9DB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0.611</w:t>
            </w:r>
          </w:p>
        </w:tc>
      </w:tr>
      <w:tr w14:paraId="3D3ECCB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6" w:type="pct"/>
            <w:tcBorders>
              <w:tl2br w:val="nil"/>
              <w:tr2bl w:val="nil"/>
            </w:tcBorders>
            <w:vAlign w:val="top"/>
          </w:tcPr>
          <w:p w14:paraId="680D4FF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抗风险性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2C6025D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0.2</w:t>
            </w:r>
            <w:r>
              <w:rPr>
                <w:rFonts w:hint="eastAsia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47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2E1FD73E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229A779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6C290B7E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0.228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439903C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0.525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66EC015B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0.678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6EE8DC56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0.322</w:t>
            </w:r>
          </w:p>
        </w:tc>
      </w:tr>
      <w:tr w14:paraId="4FD605B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6" w:type="pct"/>
            <w:tcBorders>
              <w:tl2br w:val="nil"/>
              <w:tr2bl w:val="nil"/>
            </w:tcBorders>
            <w:vAlign w:val="top"/>
          </w:tcPr>
          <w:p w14:paraId="3F16D917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可用性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2ADAEA9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0.301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073591C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2CA252A6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0.699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56364FE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1EFA2EC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5BC6618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6DA3A1D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</w:tr>
      <w:tr w14:paraId="6494A9C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6" w:type="pct"/>
            <w:tcBorders>
              <w:tl2br w:val="nil"/>
              <w:tr2bl w:val="nil"/>
            </w:tcBorders>
            <w:vAlign w:val="top"/>
          </w:tcPr>
          <w:p w14:paraId="08B7965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性能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444ECD1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102FCC1F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0.459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44C001A9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6E23527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0.180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0FCC5C26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0.362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14AA7B0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0.323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0405A2BF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0.678</w:t>
            </w:r>
          </w:p>
        </w:tc>
      </w:tr>
    </w:tbl>
    <w:p w14:paraId="49D7AE90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both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sz w:val="21"/>
          <w:szCs w:val="21"/>
        </w:rPr>
        <w:t>注：К、ϒ、ϛ、Ω、Ё分别表示API、超参数、层属性、</w:t>
      </w:r>
      <w:r>
        <w:rPr>
          <w:rFonts w:hint="eastAsia" w:ascii="宋体" w:hAnsi="宋体" w:eastAsia="宋体" w:cs="宋体"/>
          <w:color w:val="000000"/>
          <w:kern w:val="2"/>
          <w:sz w:val="21"/>
          <w:szCs w:val="21"/>
          <w:lang w:val="en-US" w:eastAsia="zh-CN" w:bidi="ar"/>
        </w:rPr>
        <w:t>缺失/冗余/错误层</w:t>
      </w:r>
      <w:r>
        <w:rPr>
          <w:rFonts w:hint="default" w:ascii="Times New Roman" w:hAnsi="Times New Roman" w:eastAsia="宋体" w:cs="Times New Roman"/>
          <w:sz w:val="21"/>
          <w:szCs w:val="21"/>
        </w:rPr>
        <w:t>、激活函数相关缺陷类别。Ω₁对应缺失归一化层，Ω₂对应错误的层类型；“—”表示该缺陷类别或类型不参与对应可信属性的评价。安全性仅关联К类别，因此其权重取1。</w:t>
      </w:r>
    </w:p>
    <w:p w14:paraId="1515FCD7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/>
        <w:textAlignment w:val="auto"/>
        <w:outlineLvl w:val="1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CNN下可信属性</w:t>
      </w:r>
      <w:r>
        <w:rPr>
          <w:rFonts w:hint="default" w:ascii="Times New Roman" w:hAnsi="Times New Roman" w:cs="Times New Roman"/>
          <w:lang w:val="en-US" w:eastAsia="zh-CN"/>
        </w:rPr>
        <w:t>权重</w:t>
      </w:r>
    </w:p>
    <w:p w14:paraId="3D954FF7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介绍影响CNN可信性的可选属性(安全性S、正确性C、可靠性R、抗风险性Q、可用性U和性能P)权重分配过程：首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先，各专家对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6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个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可信属性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按重要程度进行排序，并依据表2中的八级语言评价尺度，给出最重要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可信属性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相对于其余类别的模糊比较优先度。根据式（1）计算各专家的个人模糊权重，经去模糊化及归一化处理后得到个人权重向量，结果如表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24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所示。随后，将各专家的排序转换为秩向量，计算其余专家的平均秩次，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并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依据式（2）计算Kendall等级相关系数，如表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5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、6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所示。最后，根据式（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）对各专家的权重进行加权融合，得到缺陷类别的群体综合权重，如表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35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</w:t>
      </w:r>
    </w:p>
    <w:p w14:paraId="24E9CA0C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34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7"/>
        <w:tblW w:w="4998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0"/>
        <w:gridCol w:w="1424"/>
        <w:gridCol w:w="3441"/>
        <w:gridCol w:w="4073"/>
      </w:tblGrid>
      <w:tr w14:paraId="4785889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C9CAC4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F7565B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0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543340A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90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4814335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143F277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97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FF1DAE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8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097A478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C&gt;R&gt;S&gt;P&gt;Q&gt;U</w:t>
            </w:r>
          </w:p>
        </w:tc>
        <w:tc>
          <w:tcPr>
            <w:tcW w:w="1530" w:type="pct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319D4EF8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[(1,1,1),(1,2,3),(2,3,4),(2,3,4),(3,4,5),(3,4,5)]</w:t>
            </w:r>
          </w:p>
        </w:tc>
        <w:tc>
          <w:tcPr>
            <w:tcW w:w="2290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5575E548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Style w:val="11"/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(0.127,0.355,0.206,0.093,0.093,0.127)</w:t>
            </w:r>
          </w:p>
        </w:tc>
      </w:tr>
      <w:tr w14:paraId="0619133B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E30F82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87283E7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C&gt;R&gt;Q&gt;S&gt;U&gt;P</w:t>
            </w:r>
          </w:p>
        </w:tc>
        <w:tc>
          <w:tcPr>
            <w:tcW w:w="1530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2FAA5C59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[(1,1,1),(1,2,3),(2,3,4),(2,3,4),(3,4,5),(4,5,6)]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6D8F2F47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Style w:val="11"/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(0.129,0.362,0.210,0.129,0.095,0.075)</w:t>
            </w:r>
          </w:p>
        </w:tc>
      </w:tr>
      <w:tr w14:paraId="19CBC84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B723AC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3066F1B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R&gt;C&gt;S&gt;P&gt;Q&gt;U</w:t>
            </w:r>
          </w:p>
        </w:tc>
        <w:tc>
          <w:tcPr>
            <w:tcW w:w="1530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3C72A863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[(1,1,1),(1,2,3),(1,2,3),(2,3,4),(3,4,5),(4,5,6)]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5B3E486E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Style w:val="11"/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(0.195,0.195,0.333,0.088,0.069,0.120)</w:t>
            </w:r>
          </w:p>
        </w:tc>
      </w:tr>
      <w:tr w14:paraId="4F876D9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C4203F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8B3E8AC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C&gt;R&gt;S&gt;P&gt;Q&gt;U</w:t>
            </w:r>
          </w:p>
        </w:tc>
        <w:tc>
          <w:tcPr>
            <w:tcW w:w="1530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062796B8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[(1,1,1),(1,2,3),(2,3,4),(2,3,4),(3,4,5),(4,5,6)]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3E3D32A9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Style w:val="11"/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(0.129,0.362,0.210,0.095,0.075,0.129)</w:t>
            </w:r>
          </w:p>
        </w:tc>
      </w:tr>
      <w:tr w14:paraId="7377392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EFFA3C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781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A48C22B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S&gt;C&gt;R&gt;P&gt;Q&gt;U</w:t>
            </w:r>
          </w:p>
        </w:tc>
        <w:tc>
          <w:tcPr>
            <w:tcW w:w="1530" w:type="pct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7C09E409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[(1,1,1),(1,2,3),(2,3,4),(3,4,5),(4,5,6),(4,5,6)]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362C411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Style w:val="11"/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(0.383,0.222,0.136,0.079,0.079,0.100)</w:t>
            </w:r>
          </w:p>
        </w:tc>
      </w:tr>
    </w:tbl>
    <w:p w14:paraId="04708825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表35  5位专家排除自身后的平均秩次结果</w:t>
      </w:r>
    </w:p>
    <w:tbl>
      <w:tblPr>
        <w:tblStyle w:val="8"/>
        <w:tblW w:w="4997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6"/>
        <w:gridCol w:w="1140"/>
        <w:gridCol w:w="1152"/>
        <w:gridCol w:w="1152"/>
        <w:gridCol w:w="1152"/>
        <w:gridCol w:w="1152"/>
        <w:gridCol w:w="1152"/>
      </w:tblGrid>
      <w:tr w14:paraId="3BF44A8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4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33129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599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51FFA29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宋体"/>
                <w:color w:val="000000"/>
                <w:kern w:val="2"/>
                <w:sz w:val="21"/>
                <w:szCs w:val="21"/>
                <w:lang w:val="en-US" w:eastAsia="zh-CN" w:bidi="ar"/>
              </w:rPr>
              <w:t>S</w:t>
            </w:r>
          </w:p>
        </w:tc>
        <w:tc>
          <w:tcPr>
            <w:tcW w:w="60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40CD9C9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宋体"/>
                <w:color w:val="000000"/>
                <w:kern w:val="2"/>
                <w:sz w:val="21"/>
                <w:szCs w:val="21"/>
                <w:lang w:val="en-US" w:eastAsia="zh-CN" w:bidi="ar"/>
              </w:rPr>
              <w:t>C</w:t>
            </w:r>
          </w:p>
        </w:tc>
        <w:tc>
          <w:tcPr>
            <w:tcW w:w="60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4C5805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宋体"/>
                <w:color w:val="000000"/>
                <w:kern w:val="2"/>
                <w:sz w:val="21"/>
                <w:szCs w:val="21"/>
                <w:lang w:val="en-US" w:eastAsia="zh-CN" w:bidi="ar"/>
              </w:rPr>
              <w:t>R</w:t>
            </w:r>
          </w:p>
        </w:tc>
        <w:tc>
          <w:tcPr>
            <w:tcW w:w="60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4AE740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宋体"/>
                <w:color w:val="000000"/>
                <w:kern w:val="2"/>
                <w:sz w:val="21"/>
                <w:szCs w:val="21"/>
                <w:lang w:val="en-US" w:eastAsia="zh-CN" w:bidi="ar"/>
              </w:rPr>
              <w:t>Q</w:t>
            </w:r>
          </w:p>
        </w:tc>
        <w:tc>
          <w:tcPr>
            <w:tcW w:w="60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B2476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宋体"/>
                <w:color w:val="000000"/>
                <w:kern w:val="2"/>
                <w:sz w:val="21"/>
                <w:szCs w:val="21"/>
                <w:lang w:val="en-US" w:eastAsia="zh-CN" w:bidi="ar"/>
              </w:rPr>
              <w:t>U</w:t>
            </w:r>
          </w:p>
        </w:tc>
        <w:tc>
          <w:tcPr>
            <w:tcW w:w="60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F2F760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宋体"/>
                <w:color w:val="000000"/>
                <w:kern w:val="2"/>
                <w:sz w:val="21"/>
                <w:szCs w:val="21"/>
                <w:lang w:val="en-US" w:eastAsia="zh-CN" w:bidi="ar"/>
              </w:rPr>
              <w:t>P</w:t>
            </w:r>
          </w:p>
        </w:tc>
      </w:tr>
      <w:tr w14:paraId="3D66616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4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782F7BC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59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A3247C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  <w:tc>
          <w:tcPr>
            <w:tcW w:w="60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1022C5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60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1F864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60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7339D0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4.500</w:t>
            </w:r>
          </w:p>
        </w:tc>
        <w:tc>
          <w:tcPr>
            <w:tcW w:w="60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7AC215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5.500</w:t>
            </w:r>
          </w:p>
        </w:tc>
        <w:tc>
          <w:tcPr>
            <w:tcW w:w="60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35CD4A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4.250</w:t>
            </w:r>
          </w:p>
        </w:tc>
      </w:tr>
      <w:tr w14:paraId="7DE75D5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4" w:type="pct"/>
            <w:tcBorders>
              <w:tl2br w:val="nil"/>
              <w:tr2bl w:val="nil"/>
            </w:tcBorders>
            <w:vAlign w:val="top"/>
          </w:tcPr>
          <w:p w14:paraId="6463629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599" w:type="pct"/>
            <w:tcBorders>
              <w:tl2br w:val="nil"/>
              <w:tr2bl w:val="nil"/>
            </w:tcBorders>
            <w:vAlign w:val="center"/>
          </w:tcPr>
          <w:p w14:paraId="506AA22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4ADE4D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2BB2ED0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49B45F1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5.000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039416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5.500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64D5B7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3.500</w:t>
            </w:r>
          </w:p>
        </w:tc>
      </w:tr>
      <w:tr w14:paraId="4D13AD4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4" w:type="pct"/>
            <w:tcBorders>
              <w:tl2br w:val="nil"/>
              <w:tr2bl w:val="nil"/>
            </w:tcBorders>
            <w:vAlign w:val="top"/>
          </w:tcPr>
          <w:p w14:paraId="0F9EE0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599" w:type="pct"/>
            <w:tcBorders>
              <w:tl2br w:val="nil"/>
              <w:tr2bl w:val="nil"/>
            </w:tcBorders>
            <w:vAlign w:val="center"/>
          </w:tcPr>
          <w:p w14:paraId="3236E4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530B00B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.250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0C56165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0D179DB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4.500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07F828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5.250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77792C3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4.000</w:t>
            </w:r>
          </w:p>
        </w:tc>
      </w:tr>
      <w:tr w14:paraId="5CD6105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4" w:type="pct"/>
            <w:tcBorders>
              <w:tl2br w:val="nil"/>
              <w:tr2bl w:val="nil"/>
            </w:tcBorders>
            <w:vAlign w:val="top"/>
          </w:tcPr>
          <w:p w14:paraId="601A337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599" w:type="pct"/>
            <w:tcBorders>
              <w:tl2br w:val="nil"/>
              <w:tr2bl w:val="nil"/>
            </w:tcBorders>
            <w:vAlign w:val="center"/>
          </w:tcPr>
          <w:p w14:paraId="43FCEB6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50C7C9B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1AD9D0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07AA7C9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4.500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651DBC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5.250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136535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4.250</w:t>
            </w:r>
          </w:p>
        </w:tc>
      </w:tr>
      <w:tr w14:paraId="3C80CB6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74" w:type="pct"/>
            <w:tcBorders>
              <w:tl2br w:val="nil"/>
              <w:tr2bl w:val="nil"/>
            </w:tcBorders>
            <w:vAlign w:val="top"/>
          </w:tcPr>
          <w:p w14:paraId="73AB36B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599" w:type="pct"/>
            <w:tcBorders>
              <w:tl2br w:val="nil"/>
              <w:tr2bl w:val="nil"/>
            </w:tcBorders>
            <w:vAlign w:val="center"/>
          </w:tcPr>
          <w:p w14:paraId="15B9B23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2.750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111ED3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.250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534E600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35BEF7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4.500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0EF5B07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5.500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05CEF3F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4.000</w:t>
            </w:r>
          </w:p>
        </w:tc>
      </w:tr>
      <w:tr w14:paraId="67C036E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4" w:type="pct"/>
            <w:tcBorders>
              <w:tl2br w:val="nil"/>
              <w:tr2bl w:val="nil"/>
            </w:tcBorders>
            <w:vAlign w:val="top"/>
          </w:tcPr>
          <w:p w14:paraId="1AB49B8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599" w:type="pct"/>
            <w:tcBorders>
              <w:tl2br w:val="nil"/>
              <w:tr2bl w:val="nil"/>
            </w:tcBorders>
            <w:vAlign w:val="center"/>
          </w:tcPr>
          <w:p w14:paraId="5CCB975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0.187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173E60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0.302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28CFA1E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0.221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72D21D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0.096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4B40A76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0.082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1CFB9F7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0.112</w:t>
            </w:r>
          </w:p>
        </w:tc>
      </w:tr>
    </w:tbl>
    <w:p w14:paraId="5F56BDD9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3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6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368"/>
        <w:gridCol w:w="1368"/>
        <w:gridCol w:w="1369"/>
        <w:gridCol w:w="1369"/>
        <w:gridCol w:w="1369"/>
      </w:tblGrid>
      <w:tr w14:paraId="3C575763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87D86AE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7127EB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3F4E20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0E588E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D50DE7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5A7735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12E4D9CE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E76451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D66F66E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0.867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D1E5F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0.667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96358B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0.800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88269EF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933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5F7BB2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0.667</w:t>
            </w:r>
          </w:p>
        </w:tc>
      </w:tr>
      <w:tr w14:paraId="4F236C6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3720CD51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22E17075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16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3242335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176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6FD1F7C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1D7A8595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230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784308FC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176</w:t>
            </w:r>
          </w:p>
        </w:tc>
      </w:tr>
    </w:tbl>
    <w:p w14:paraId="53D49670">
      <w:pPr>
        <w:rPr>
          <w:rFonts w:hint="default"/>
          <w:lang w:val="en-US" w:eastAsia="zh-CN"/>
        </w:rPr>
      </w:pPr>
    </w:p>
    <w:p w14:paraId="61296F2F">
      <w:pPr>
        <w:rPr>
          <w:rFonts w:hint="default"/>
          <w:lang w:val="en-US" w:eastAsia="zh-CN"/>
        </w:rPr>
      </w:pPr>
    </w:p>
    <w:p w14:paraId="05DB98B6">
      <w:pPr>
        <w:rPr>
          <w:rFonts w:hint="default"/>
          <w:lang w:val="en-US" w:eastAsia="zh-CN"/>
        </w:rPr>
      </w:pPr>
    </w:p>
    <w:p w14:paraId="39EE2E5A">
      <w:pPr>
        <w:keepNext w:val="0"/>
        <w:keepLines w:val="0"/>
        <w:pageBreakBefore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/>
        <w:textAlignment w:val="auto"/>
        <w:outlineLvl w:val="0"/>
        <w:rPr>
          <w:rFonts w:hint="eastAsia" w:ascii="黑体" w:hAnsi="黑体" w:eastAsia="黑体" w:cs="黑体"/>
          <w:sz w:val="21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1"/>
          <w:szCs w:val="24"/>
          <w:lang w:val="en-US" w:eastAsia="zh-CN"/>
        </w:rPr>
        <w:t>五、证明过程</w:t>
      </w:r>
    </w:p>
    <w:p w14:paraId="7ECAD209">
      <w:pPr>
        <w:pStyle w:val="4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 w:firstLineChars="200"/>
        <w:jc w:val="both"/>
        <w:textAlignment w:val="auto"/>
        <w:rPr>
          <w:rFonts w:hint="default" w:ascii="Times New Roman" w:hAnsi="Times New Roman" w:cs="Times New Roman"/>
        </w:rPr>
      </w:pPr>
      <w:bookmarkStart w:id="0" w:name="cnn可信性度量模型的数学性质证明"/>
      <w:r>
        <w:rPr>
          <w:rFonts w:hint="default" w:ascii="Times New Roman" w:hAnsi="Times New Roman" w:eastAsia="Noto Serif CJK SC" w:cs="Times New Roman"/>
          <w:b/>
          <w:bCs/>
          <w:sz w:val="21"/>
        </w:rPr>
        <w:t>定理1</w:t>
      </w:r>
      <w:r>
        <w:rPr>
          <w:rFonts w:hint="default" w:ascii="Times New Roman" w:hAnsi="Times New Roman" w:eastAsia="宋体" w:cs="Times New Roman"/>
          <w:b/>
          <w:bCs/>
          <w:sz w:val="21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sz w:val="21"/>
          <w:lang w:val="en-US" w:eastAsia="zh-CN"/>
        </w:rPr>
        <w:t>原文</w:t>
      </w:r>
      <w:r>
        <w:rPr>
          <w:rFonts w:hint="default" w:ascii="Times New Roman" w:hAnsi="Times New Roman" w:eastAsia="Noto Serif CJK SC" w:cs="Times New Roman"/>
          <w:sz w:val="21"/>
        </w:rPr>
        <w:t>式（</w:t>
      </w:r>
      <w:r>
        <w:rPr>
          <w:rFonts w:hint="default" w:ascii="Times New Roman" w:hAnsi="Times New Roman" w:eastAsia="宋体" w:cs="Times New Roman"/>
          <w:sz w:val="21"/>
          <w:lang w:val="en-US" w:eastAsia="zh-CN"/>
        </w:rPr>
        <w:t>5</w:t>
      </w:r>
      <w:r>
        <w:rPr>
          <w:rFonts w:hint="default" w:ascii="Times New Roman" w:hAnsi="Times New Roman" w:eastAsia="Noto Serif CJK SC" w:cs="Times New Roman"/>
          <w:sz w:val="21"/>
        </w:rPr>
        <w:t>）定义的可信属性值计算模型具有单调性和有界性。</w:t>
      </w:r>
    </w:p>
    <w:p w14:paraId="0E573057">
      <w:pPr>
        <w:pStyle w:val="4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 w:firstLineChars="20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（1）单调性。</w:t>
      </w:r>
      <w:r>
        <w:rPr>
          <w:rFonts w:hint="default" w:ascii="Times New Roman" w:hAnsi="Times New Roman" w:eastAsia="Noto Serif CJK SC" w:cs="Times New Roman"/>
          <w:sz w:val="21"/>
        </w:rPr>
        <w:t xml:space="preserve"> 可信属性的缺陷值增大时，其属性值严格递减，即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∂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/∂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&lt;0</m:t>
        </m:r>
      </m:oMath>
      <w:r>
        <w:rPr>
          <w:rFonts w:hint="default" w:ascii="Times New Roman" w:hAnsi="Times New Roman" w:eastAsia="Noto Serif CJK SC" w:cs="Times New Roman"/>
          <w:sz w:val="21"/>
        </w:rPr>
        <w:t>。</w:t>
      </w:r>
    </w:p>
    <w:p w14:paraId="3F3D8838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证明：</w:t>
      </w:r>
      <w:r>
        <w:rPr>
          <w:rFonts w:hint="default" w:ascii="Times New Roman" w:hAnsi="Times New Roman" w:eastAsia="Noto Serif CJK SC" w:cs="Times New Roman"/>
          <w:sz w:val="21"/>
        </w:rPr>
        <w:t xml:space="preserve"> 关于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 xml:space="preserve"> 求偏导，得到</w:t>
      </w:r>
    </w:p>
    <w:p w14:paraId="56EB4009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Times New Roman" w:hAnsi="Times New Roman" w:eastAsia="宋体" w:cs="Times New Roman"/>
          <w:i w:val="0"/>
          <w:lang w:val="en-US" w:eastAsia="zh-CN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cs="Times New Roman"/>
                  <w:sz w:val="18"/>
                  <w:szCs w:val="21"/>
                </w:rPr>
              </m:ctrlPr>
            </m:eqArrPr>
            <m:e>
              <m:f>
                <m:fPr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  <w:szCs w:val="21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b w:val="0"/>
                      <w:i/>
                      <w:iCs/>
                      <w:sz w:val="18"/>
                      <w:szCs w:val="21"/>
                    </w:rPr>
                    <m:t>∂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b w:val="0"/>
                          <w:i/>
                          <w:iCs/>
                          <w:sz w:val="18"/>
                          <w:szCs w:val="21"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b w:val="0"/>
                          <w:i/>
                          <w:iCs/>
                          <w:sz w:val="18"/>
                          <w:szCs w:val="21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  <w:szCs w:val="21"/>
                    </w:rPr>
                  </m:ctrlPr>
                </m:num>
                <m:den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b w:val="0"/>
                      <w:i/>
                      <w:iCs/>
                      <w:sz w:val="18"/>
                      <w:szCs w:val="21"/>
                    </w:rPr>
                    <m:t>∂D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b w:val="0"/>
                          <w:i/>
                          <w:iCs/>
                          <w:sz w:val="18"/>
                          <w:szCs w:val="21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b w:val="0"/>
                          <w:i/>
                          <w:iCs/>
                          <w:sz w:val="18"/>
                          <w:szCs w:val="21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  <w:szCs w:val="21"/>
                    </w:rPr>
                  </m:ctrlPr>
                </m:den>
              </m:f>
              <m:r>
                <m:rPr>
                  <m:nor/>
                </m:rPr>
                <w:rPr>
                  <w:rFonts w:hint="default" w:ascii="Times New Roman" w:hAnsi="Times New Roman" w:cs="Times New Roman"/>
                  <w:b w:val="0"/>
                  <w:i/>
                  <w:iCs/>
                  <w:sz w:val="18"/>
                  <w:szCs w:val="21"/>
                </w:rPr>
                <m:t>=−</m:t>
              </m:r>
              <m:d>
                <m:dPr>
                  <m:sepChr m:val=""/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  <w:szCs w:val="21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fPr>
                    <m:num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b w:val="0"/>
                          <w:i/>
                          <w:iCs/>
                          <w:sz w:val="18"/>
                          <w:szCs w:val="21"/>
                        </w:rPr>
                        <m:t>1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num>
                    <m:den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b w:val="0"/>
                          <w:i/>
                          <w:iCs/>
                          <w:sz w:val="18"/>
                          <w:szCs w:val="21"/>
                        </w:rPr>
                        <m:t>f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den>
                  </m:f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b w:val="0"/>
                      <w:i/>
                      <w:iCs/>
                      <w:sz w:val="18"/>
                      <w:szCs w:val="21"/>
                    </w:rPr>
                    <m:t>+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fPr>
                    <m:num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b w:val="0"/>
                          <w:i/>
                          <w:iCs/>
                          <w:sz w:val="18"/>
                          <w:szCs w:val="21"/>
                        </w:rPr>
                        <m:t>2λD</m:t>
                      </m:r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  <w:sz w:val="18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b w:val="0"/>
                              <w:i/>
                              <w:iCs/>
                              <w:sz w:val="18"/>
                              <w:szCs w:val="21"/>
                            </w:rPr>
                            <m:t>A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  <w:sz w:val="18"/>
                              <w:szCs w:val="21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b w:val="0"/>
                              <w:i/>
                              <w:iCs/>
                              <w:sz w:val="18"/>
                              <w:szCs w:val="21"/>
                            </w:rPr>
                            <m:t>a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  <w:sz w:val="18"/>
                              <w:szCs w:val="21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num>
                    <m:den>
                      <m:sSup>
                        <m:sSupP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  <w:sz w:val="18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b w:val="0"/>
                              <w:i/>
                              <w:iCs/>
                              <w:sz w:val="18"/>
                              <w:szCs w:val="21"/>
                            </w:rPr>
                            <m:t>f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  <w:sz w:val="18"/>
                              <w:szCs w:val="21"/>
                            </w:rPr>
                          </m:ctrlPr>
                        </m:e>
                        <m:sup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b w:val="0"/>
                              <w:i/>
                              <w:iCs/>
                              <w:sz w:val="18"/>
                              <w:szCs w:val="21"/>
                            </w:rPr>
                            <m:t>2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  <w:sz w:val="18"/>
                              <w:szCs w:val="21"/>
                            </w:rPr>
                          </m:ctrlPr>
                        </m:sup>
                      </m:sSup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den>
                  </m:f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  <w:szCs w:val="21"/>
                    </w:rPr>
                  </m:ctrlPr>
                </m:e>
              </m:d>
              <m:r>
                <m:rPr>
                  <m:nor/>
                </m:rPr>
                <w:rPr>
                  <w:rFonts w:hint="default" w:ascii="Times New Roman" w:hAnsi="Times New Roman" w:cs="Times New Roman"/>
                  <w:b w:val="0"/>
                  <w:i/>
                  <w:iCs/>
                  <w:sz w:val="18"/>
                  <w:szCs w:val="21"/>
                </w:rPr>
                <m:t>exp​</m:t>
              </m:r>
              <m:d>
                <m:dPr>
                  <m:begChr m:val="["/>
                  <m:sepChr m:val=""/>
                  <m:endChr m:val="]"/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  <w:szCs w:val="21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b w:val="0"/>
                      <w:i/>
                      <w:iCs/>
                      <w:sz w:val="18"/>
                      <w:szCs w:val="21"/>
                    </w:rPr>
                    <m:t>−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fPr>
                    <m:num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b w:val="0"/>
                          <w:i/>
                          <w:iCs/>
                          <w:sz w:val="18"/>
                          <w:szCs w:val="21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  <w:sz w:val="18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b w:val="0"/>
                              <w:i/>
                              <w:iCs/>
                              <w:sz w:val="18"/>
                              <w:szCs w:val="21"/>
                            </w:rPr>
                            <m:t>A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  <w:sz w:val="18"/>
                              <w:szCs w:val="21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b w:val="0"/>
                              <w:i/>
                              <w:iCs/>
                              <w:sz w:val="18"/>
                              <w:szCs w:val="21"/>
                            </w:rPr>
                            <m:t>a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  <w:sz w:val="18"/>
                              <w:szCs w:val="21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num>
                    <m:den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b w:val="0"/>
                          <w:i/>
                          <w:iCs/>
                          <w:sz w:val="18"/>
                          <w:szCs w:val="21"/>
                        </w:rPr>
                        <m:t>f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den>
                  </m:f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b w:val="0"/>
                      <w:i/>
                      <w:iCs/>
                      <w:sz w:val="18"/>
                      <w:szCs w:val="21"/>
                    </w:rPr>
                    <m:t>−λ</m:t>
                  </m:r>
                  <m:sSup>
                    <m:sSup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sSupPr>
                    <m:e>
                      <m:d>
                        <m:dPr>
                          <m:sepChr m:val=""/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  <w:sz w:val="18"/>
                              <w:szCs w:val="21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hint="default" w:ascii="Cambria Math" w:hAnsi="Cambria Math" w:cs="Times New Roman"/>
                                  <w:i/>
                                  <w:iCs/>
                                  <w:sz w:val="18"/>
                                  <w:szCs w:val="21"/>
                                </w:rPr>
                              </m:ctrlPr>
                            </m:fPr>
                            <m:num>
                              <m:r>
                                <m:rPr>
                                  <m:nor/>
                                </m:rPr>
                                <w:rPr>
                                  <w:rFonts w:hint="default" w:ascii="Times New Roman" w:hAnsi="Times New Roman" w:cs="Times New Roman"/>
                                  <w:b w:val="0"/>
                                  <w:i/>
                                  <w:iCs/>
                                  <w:sz w:val="18"/>
                                  <w:szCs w:val="21"/>
                                </w:rPr>
                                <m:t>D</m:t>
                              </m:r>
                              <m:sSub>
                                <m:sSubPr>
                                  <m:ctrlPr>
                                    <w:rPr>
                                      <w:rFonts w:hint="default" w:ascii="Cambria Math" w:hAnsi="Cambria Math" w:cs="Times New Roman"/>
                                      <w:i/>
                                      <w:iCs/>
                                      <w:sz w:val="18"/>
                                      <w:szCs w:val="21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rFonts w:hint="default" w:ascii="Times New Roman" w:hAnsi="Times New Roman" w:cs="Times New Roman"/>
                                      <w:b w:val="0"/>
                                      <w:i/>
                                      <w:iCs/>
                                      <w:sz w:val="18"/>
                                      <w:szCs w:val="21"/>
                                    </w:rPr>
                                    <m:t>A</m:t>
                                  </m:r>
                                  <m:ctrlPr>
                                    <w:rPr>
                                      <w:rFonts w:hint="default" w:ascii="Cambria Math" w:hAnsi="Cambria Math" w:cs="Times New Roman"/>
                                      <w:i/>
                                      <w:iCs/>
                                      <w:sz w:val="18"/>
                                      <w:szCs w:val="21"/>
                                    </w:rPr>
                                  </m:ctrlP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rFonts w:hint="default" w:ascii="Times New Roman" w:hAnsi="Times New Roman" w:cs="Times New Roman"/>
                                      <w:b w:val="0"/>
                                      <w:i/>
                                      <w:iCs/>
                                      <w:sz w:val="18"/>
                                      <w:szCs w:val="21"/>
                                    </w:rPr>
                                    <m:t>a</m:t>
                                  </m:r>
                                  <m:ctrlPr>
                                    <w:rPr>
                                      <w:rFonts w:hint="default" w:ascii="Cambria Math" w:hAnsi="Cambria Math" w:cs="Times New Roman"/>
                                      <w:i/>
                                      <w:iCs/>
                                      <w:sz w:val="18"/>
                                      <w:szCs w:val="21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hint="default" w:ascii="Cambria Math" w:hAnsi="Cambria Math" w:cs="Times New Roman"/>
                                  <w:i/>
                                  <w:iCs/>
                                  <w:sz w:val="18"/>
                                  <w:szCs w:val="21"/>
                                </w:rPr>
                              </m:ctrlPr>
                            </m:num>
                            <m:den>
                              <m:r>
                                <m:rPr>
                                  <m:nor/>
                                </m:rPr>
                                <w:rPr>
                                  <w:rFonts w:hint="default" w:ascii="Times New Roman" w:hAnsi="Times New Roman" w:cs="Times New Roman"/>
                                  <w:b w:val="0"/>
                                  <w:i/>
                                  <w:iCs/>
                                  <w:sz w:val="18"/>
                                  <w:szCs w:val="21"/>
                                </w:rPr>
                                <m:t>f</m:t>
                              </m:r>
                              <m:ctrlPr>
                                <w:rPr>
                                  <w:rFonts w:hint="default" w:ascii="Cambria Math" w:hAnsi="Cambria Math" w:cs="Times New Roman"/>
                                  <w:i/>
                                  <w:iCs/>
                                  <w:sz w:val="18"/>
                                  <w:szCs w:val="21"/>
                                </w:rPr>
                              </m:ctrlPr>
                            </m:den>
                          </m:f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  <w:sz w:val="18"/>
                              <w:szCs w:val="21"/>
                            </w:rPr>
                          </m:ctrlPr>
                        </m:e>
                      </m:d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e>
                    <m:sup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b w:val="0"/>
                          <w:i/>
                          <w:iCs/>
                          <w:sz w:val="18"/>
                          <w:szCs w:val="21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sup>
                  </m:sSup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  <w:szCs w:val="21"/>
                    </w:rPr>
                  </m:ctrlPr>
                </m:e>
              </m:d>
              <m:r>
                <m:rPr>
                  <m:nor/>
                </m:rPr>
                <w:rPr>
                  <w:rFonts w:hint="default" w:ascii="Times New Roman" w:hAnsi="Times New Roman" w:cs="Times New Roman"/>
                  <w:b w:val="0"/>
                  <w:i/>
                  <w:iCs/>
                  <w:sz w:val="18"/>
                  <w:szCs w:val="21"/>
                </w:rPr>
                <m:t>=−</m:t>
              </m:r>
              <m:f>
                <m:fPr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  <w:szCs w:val="21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b w:val="0"/>
                          <w:i/>
                          <w:iCs/>
                          <w:sz w:val="18"/>
                          <w:szCs w:val="21"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b w:val="0"/>
                          <w:i/>
                          <w:iCs/>
                          <w:sz w:val="18"/>
                          <w:szCs w:val="21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  <w:szCs w:val="21"/>
                    </w:rPr>
                  </m:ctrlPr>
                </m:num>
                <m:den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b w:val="0"/>
                      <w:i/>
                      <w:iCs/>
                      <w:sz w:val="18"/>
                      <w:szCs w:val="21"/>
                    </w:rPr>
                    <m:t>f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  <w:szCs w:val="21"/>
                    </w:rPr>
                  </m:ctrlPr>
                </m:den>
              </m:f>
              <m:d>
                <m:dPr>
                  <m:sepChr m:val=""/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  <w:szCs w:val="21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b w:val="0"/>
                      <w:i/>
                      <w:iCs/>
                      <w:sz w:val="18"/>
                      <w:szCs w:val="21"/>
                    </w:rPr>
                    <m:t>1+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fPr>
                    <m:num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b w:val="0"/>
                          <w:i/>
                          <w:iCs/>
                          <w:sz w:val="18"/>
                          <w:szCs w:val="21"/>
                        </w:rPr>
                        <m:t>2λD</m:t>
                      </m:r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  <w:sz w:val="18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b w:val="0"/>
                              <w:i/>
                              <w:iCs/>
                              <w:sz w:val="18"/>
                              <w:szCs w:val="21"/>
                            </w:rPr>
                            <m:t>A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  <w:sz w:val="18"/>
                              <w:szCs w:val="21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b w:val="0"/>
                              <w:i/>
                              <w:iCs/>
                              <w:sz w:val="18"/>
                              <w:szCs w:val="21"/>
                            </w:rPr>
                            <m:t>a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  <w:sz w:val="18"/>
                              <w:szCs w:val="21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num>
                    <m:den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b w:val="0"/>
                          <w:i/>
                          <w:iCs/>
                          <w:sz w:val="18"/>
                          <w:szCs w:val="21"/>
                        </w:rPr>
                        <m:t>f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den>
                  </m:f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  <w:szCs w:val="21"/>
                    </w:rPr>
                  </m:ctrlPr>
                </m:e>
              </m:d>
              <m:r>
                <m:rPr>
                  <m:sty m:val="p"/>
                </m:rPr>
                <w:rPr>
                  <w:rFonts w:hint="default" w:ascii="Cambria Math" w:hAnsi="Cambria Math" w:eastAsia="宋体" w:cs="Times New Roman"/>
                  <w:sz w:val="18"/>
                  <w:szCs w:val="21"/>
                  <w:lang w:val="en-US" w:eastAsia="zh-CN"/>
                </w:rPr>
                <m:t>#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b w:val="0"/>
                  <w:i w:val="0"/>
                  <w:sz w:val="18"/>
                  <w:szCs w:val="21"/>
                  <w:lang w:val="en-US" w:eastAsia="zh-CN"/>
                </w:rPr>
                <m:t>(1)</m:t>
              </m:r>
              <m:ctrlPr>
                <w:rPr>
                  <w:rFonts w:hint="default" w:ascii="Cambria Math" w:hAnsi="Cambria Math" w:cs="Times New Roman"/>
                  <w:sz w:val="18"/>
                  <w:szCs w:val="21"/>
                </w:rPr>
              </m:ctrlPr>
            </m:e>
          </m:eqArr>
        </m:oMath>
      </m:oMathPara>
    </w:p>
    <w:p w14:paraId="4895D0E7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eastAsia="宋体" w:cs="Times New Roman"/>
          <w:lang w:eastAsia="zh-CN"/>
        </w:rPr>
      </w:pPr>
      <w:r>
        <w:rPr>
          <w:rFonts w:hint="default" w:ascii="Times New Roman" w:hAnsi="Times New Roman" w:eastAsia="Noto Serif CJK SC" w:cs="Times New Roman"/>
          <w:sz w:val="21"/>
        </w:rPr>
        <w:t xml:space="preserve">由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f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&gt;0</m:t>
        </m:r>
      </m:oMath>
      <w:r>
        <w:rPr>
          <w:rFonts w:hint="default" w:ascii="Times New Roman" w:hAnsi="Times New Roman" w:eastAsia="Noto Serif CJK SC" w:cs="Times New Roman"/>
          <w:sz w:val="21"/>
        </w:rPr>
        <w:t>、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≥0</m:t>
        </m:r>
      </m:oMath>
      <w:r>
        <w:rPr>
          <w:rFonts w:hint="default" w:ascii="Times New Roman" w:hAnsi="Times New Roman" w:eastAsia="Noto Serif CJK SC" w:cs="Times New Roman"/>
          <w:sz w:val="21"/>
        </w:rPr>
        <w:t>、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λ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≥0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 和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&gt;0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 可知，式（</w:t>
      </w:r>
      <w:r>
        <w:rPr>
          <w:rFonts w:hint="default" w:ascii="Times New Roman" w:hAnsi="Times New Roman" w:eastAsia="宋体" w:cs="Times New Roman"/>
          <w:sz w:val="21"/>
          <w:lang w:val="en-US" w:eastAsia="zh-CN"/>
        </w:rPr>
        <w:t>1</w:t>
      </w:r>
      <w:r>
        <w:rPr>
          <w:rFonts w:hint="default" w:ascii="Times New Roman" w:hAnsi="Times New Roman" w:eastAsia="Noto Serif CJK SC" w:cs="Times New Roman"/>
          <w:sz w:val="21"/>
        </w:rPr>
        <w:t>）严格小于零。因此，缺陷值越大，属性值越小</w:t>
      </w:r>
      <w:r>
        <w:rPr>
          <w:rFonts w:hint="default" w:ascii="Times New Roman" w:hAnsi="Times New Roman" w:eastAsia="宋体" w:cs="Times New Roman"/>
          <w:sz w:val="21"/>
          <w:lang w:eastAsia="zh-CN"/>
        </w:rPr>
        <w:t>。</w:t>
      </w:r>
    </w:p>
    <w:p w14:paraId="6FC0C18D">
      <w:pPr>
        <w:pStyle w:val="4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（2）有界性。</w:t>
      </w:r>
      <w:r>
        <w:rPr>
          <w:rFonts w:hint="default" w:ascii="Times New Roman" w:hAnsi="Times New Roman" w:eastAsia="Noto Serif CJK SC" w:cs="Times New Roman"/>
          <w:sz w:val="21"/>
        </w:rPr>
        <w:t xml:space="preserve"> 可信属性值满足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0&lt;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1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；当严重度有上界 </w:t>
      </w:r>
      <m:oMath>
        <m:r>
          <m:rPr>
            <m:nor/>
          </m:rPr>
          <w:rPr>
            <w:rFonts w:hint="default" w:ascii="Times New Roman" w:hAnsi="Times New Roman" w:cs="Times New Roman"/>
            <w:i/>
            <w:iCs w:val="0"/>
          </w:rPr>
          <m:t>S</m:t>
        </m:r>
      </m:oMath>
      <w:r>
        <w:rPr>
          <w:rFonts w:hint="default" w:ascii="Times New Roman" w:hAnsi="Times New Roman" w:eastAsia="Noto Serif CJK SC" w:cs="Times New Roman"/>
          <w:i/>
          <w:iCs w:val="0"/>
          <w:sz w:val="21"/>
        </w:rPr>
        <w:t xml:space="preserve"> </w:t>
      </w:r>
      <w:r>
        <w:rPr>
          <w:rFonts w:hint="default" w:ascii="Times New Roman" w:hAnsi="Times New Roman" w:eastAsia="Noto Serif CJK SC" w:cs="Times New Roman"/>
          <w:sz w:val="21"/>
        </w:rPr>
        <w:t xml:space="preserve">时，进一步满足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δ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1</m:t>
        </m:r>
      </m:oMath>
      <w:r>
        <w:rPr>
          <w:rFonts w:hint="default" w:ascii="Times New Roman" w:hAnsi="Times New Roman" w:eastAsia="Noto Serif CJK SC" w:cs="Times New Roman"/>
          <w:sz w:val="21"/>
        </w:rPr>
        <w:t>。</w:t>
      </w:r>
    </w:p>
    <w:p w14:paraId="1745EDA8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证明：</w:t>
      </w:r>
      <w:r>
        <w:rPr>
          <w:rFonts w:hint="default" w:ascii="Times New Roman" w:hAnsi="Times New Roman" w:eastAsia="Noto Serif CJK SC" w:cs="Times New Roman"/>
          <w:sz w:val="21"/>
        </w:rPr>
        <w:t xml:space="preserve"> 由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≥0</m:t>
        </m:r>
      </m:oMath>
      <w:r>
        <w:rPr>
          <w:rFonts w:hint="default" w:ascii="Times New Roman" w:hAnsi="Times New Roman" w:eastAsia="Noto Serif CJK SC" w:cs="Times New Roman"/>
          <w:sz w:val="21"/>
        </w:rPr>
        <w:t>、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f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&gt;0</m:t>
        </m:r>
      </m:oMath>
      <w:r>
        <w:rPr>
          <w:rFonts w:hint="default" w:ascii="Times New Roman" w:hAnsi="Times New Roman" w:eastAsia="Noto Serif CJK SC" w:cs="Times New Roman"/>
          <w:sz w:val="21"/>
        </w:rPr>
        <w:t>、</w:t>
      </w:r>
      <m:oMath>
        <w:bookmarkStart w:id="1" w:name="_GoBack"/>
        <w:bookmarkEnd w:id="1"/>
        <m:r>
          <m:rPr>
            <m:nor/>
          </m:rPr>
          <w:rPr>
            <w:rFonts w:hint="default" w:ascii="Times New Roman" w:hAnsi="Times New Roman" w:cs="Times New Roman"/>
            <w:i/>
          </w:rPr>
          <m:t>λ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≥0</m:t>
        </m:r>
      </m:oMath>
      <w:r>
        <w:rPr>
          <w:rFonts w:hint="default" w:ascii="Times New Roman" w:hAnsi="Times New Roman" w:eastAsia="Noto Serif CJK SC" w:cs="Times New Roman"/>
          <w:sz w:val="21"/>
        </w:rPr>
        <w:t>，指数项满足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D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A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a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f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−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λ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f>
                  <m:fPr>
                    <m:ctrlPr>
                      <w:rPr>
                        <w:rFonts w:hint="default" w:ascii="Cambria Math" w:hAnsi="Cambria Math" w:cs="Times New Roman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D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</w:rPr>
                          <m:t>A</m:t>
                        </m: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</w:rPr>
                          <m:t>a</m:t>
                        </m: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</w:rPr>
                    </m:ctrlPr>
                  </m:num>
                  <m:den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f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≤0.</m:t>
        </m:r>
      </m:oMath>
    </w:p>
    <w:p w14:paraId="50F884F5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 xml:space="preserve">因此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0&lt;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1</m:t>
        </m:r>
      </m:oMath>
      <w:r>
        <w:rPr>
          <w:rFonts w:hint="default" w:ascii="Times New Roman" w:hAnsi="Times New Roman" w:eastAsia="Noto Serif CJK SC" w:cs="Times New Roman"/>
          <w:sz w:val="21"/>
        </w:rPr>
        <w:t>。特别地，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=0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 时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1</m:t>
        </m:r>
      </m:oMath>
      <w:r>
        <w:rPr>
          <w:rFonts w:hint="default" w:ascii="Times New Roman" w:hAnsi="Times New Roman" w:eastAsia="Noto Serif CJK SC" w:cs="Times New Roman"/>
          <w:sz w:val="21"/>
        </w:rPr>
        <w:t>。</w:t>
      </w:r>
    </w:p>
    <w:p w14:paraId="53E1775A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补充说明（二次风险调节项的作用）。</w:t>
      </w:r>
      <w:r>
        <w:rPr>
          <w:rFonts w:hint="default" w:ascii="Times New Roman" w:hAnsi="Times New Roman" w:eastAsia="Noto Serif CJK SC" w:cs="Times New Roman"/>
          <w:sz w:val="21"/>
        </w:rPr>
        <w:t xml:space="preserve"> 设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=−ln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 xml:space="preserve"> 为属性层面的累积惩罚量，则</w:t>
      </w:r>
    </w:p>
    <w:p w14:paraId="7BBAF382">
      <w:pPr>
        <w:pStyle w:val="4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0"/>
        <w:jc w:val="center"/>
        <w:textAlignment w:val="auto"/>
        <w:rPr>
          <w:rFonts w:hint="default" w:ascii="Times New Roman" w:hAnsi="Times New Roman" w:cs="Times New Roman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cs="Times New Roman"/>
                  <w:color w:val="282828"/>
                  <w:sz w:val="18"/>
                </w:rPr>
              </m:ctrlPr>
            </m:eqArrPr>
            <m:e>
              <m:sSub>
                <m:sSubPr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sz w:val="18"/>
                    </w:rPr>
                    <m:t>L</m:t>
                  </m:r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sz w:val="18"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sub>
              </m:s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18"/>
                </w:rPr>
                <m:t>=</m:t>
              </m:r>
              <m:f>
                <m:fPr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sz w:val="18"/>
                    </w:rPr>
                    <m:t>D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sz w:val="18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sz w:val="18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num>
                <m:den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sz w:val="18"/>
                    </w:rPr>
                    <m:t>f</m:t>
                  </m:r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18"/>
                </w:rPr>
                <m:t>+</m:t>
              </m:r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  <w:sz w:val="18"/>
                </w:rPr>
                <m:t>λ</m:t>
              </m:r>
              <m:sSup>
                <m:sSupPr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sSupPr>
                <m:e>
                  <m:d>
                    <m:dPr>
                      <m:sepChr m:val=""/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hint="default" w:ascii="Cambria Math" w:hAnsi="Cambria Math" w:cs="Times New Roman"/>
                              <w:sz w:val="18"/>
                            </w:rPr>
                          </m:ctrlPr>
                        </m:fPr>
                        <m:num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i/>
                              <w:sz w:val="18"/>
                            </w:rPr>
                            <m:t>D</m:t>
                          </m:r>
                          <m:sSub>
                            <m:sSubPr>
                              <m:ctrlPr>
                                <w:rPr>
                                  <w:rFonts w:hint="default" w:ascii="Cambria Math" w:hAnsi="Cambria Math" w:cs="Times New Roman"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hint="default" w:ascii="Times New Roman" w:hAnsi="Times New Roman" w:cs="Times New Roman"/>
                                  <w:i/>
                                  <w:sz w:val="18"/>
                                </w:rPr>
                                <m:t>A</m:t>
                              </m:r>
                              <m:ctrlPr>
                                <w:rPr>
                                  <w:rFonts w:hint="default" w:ascii="Cambria Math" w:hAnsi="Cambria Math" w:cs="Times New Roman"/>
                                  <w:sz w:val="18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hint="default" w:ascii="Times New Roman" w:hAnsi="Times New Roman" w:cs="Times New Roman"/>
                                  <w:i/>
                                  <w:sz w:val="18"/>
                                </w:rPr>
                                <m:t>a</m:t>
                              </m:r>
                              <m:ctrlPr>
                                <w:rPr>
                                  <w:rFonts w:hint="default" w:ascii="Cambria Math" w:hAnsi="Cambria Math" w:cs="Times New Roman"/>
                                  <w:sz w:val="18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default" w:ascii="Cambria Math" w:hAnsi="Cambria Math" w:cs="Times New Roman"/>
                              <w:sz w:val="18"/>
                            </w:rPr>
                          </m:ctrlPr>
                        </m:num>
                        <m:den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i/>
                              <w:sz w:val="18"/>
                            </w:rPr>
                            <m:t>f</m:t>
                          </m:r>
                          <m:ctrlPr>
                            <w:rPr>
                              <w:rFonts w:hint="default" w:ascii="Cambria Math" w:hAnsi="Cambria Math" w:cs="Times New Roman"/>
                              <w:sz w:val="18"/>
                            </w:rPr>
                          </m:ctrlPr>
                        </m:den>
                      </m:f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e>
                  </m:d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e>
                <m:sup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  <w:sz w:val="18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sup>
              </m:sSup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18"/>
                </w:rPr>
                <m:t>, </m:t>
              </m:r>
              <m:f>
                <m:fPr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fPr>
                <m:num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sz w:val="18"/>
                    </w:rPr>
                    <m:t>∂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sz w:val="18"/>
                        </w:rPr>
                        <m:t>L</m:t>
                      </m: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sz w:val="18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num>
                <m:den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sz w:val="18"/>
                    </w:rPr>
                    <m:t>∂</m:t>
                  </m:r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sz w:val="18"/>
                    </w:rPr>
                    <m:t>D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sz w:val="18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sz w:val="18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18"/>
                </w:rPr>
                <m:t>=</m:t>
              </m:r>
              <m:f>
                <m:fPr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fPr>
                <m:num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  <w:sz w:val="18"/>
                    </w:rPr>
                    <m:t>1</m:t>
                  </m:r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num>
                <m:den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sz w:val="18"/>
                    </w:rPr>
                    <m:t>f</m:t>
                  </m:r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18"/>
                </w:rPr>
                <m:t>+</m:t>
              </m:r>
              <m:f>
                <m:fPr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fPr>
                <m:num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  <w:sz w:val="18"/>
                    </w:rPr>
                    <m:t>2</m:t>
                  </m:r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sz w:val="18"/>
                    </w:rPr>
                    <m:t>λD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sz w:val="18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sz w:val="18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num>
                <m:den>
                  <m:sSup>
                    <m:sSupP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sSup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sz w:val="18"/>
                        </w:rPr>
                        <m:t>f</m:t>
                      </m: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Times New Roman" w:hAnsi="Times New Roman" w:cs="Times New Roman"/>
                          <w:b w:val="0"/>
                          <w:i w:val="0"/>
                          <w:iCs/>
                          <w:sz w:val="18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sup>
                  </m:sSup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18"/>
                </w:rPr>
                <m:t>, </m:t>
              </m:r>
              <m:f>
                <m:fPr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</w:rPr>
                  </m:ctrlPr>
                </m:fPr>
                <m:num>
                  <m:sSup>
                    <m:sSup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</w:rPr>
                      </m:ctrlPr>
                    </m:sSupPr>
                    <m:e>
                      <m:r>
                        <m:rPr>
                          <m:nor/>
                          <m:sty m:val="p"/>
                        </m:rPr>
                        <w:rPr>
                          <w:rFonts w:hint="default" w:ascii="Times New Roman" w:hAnsi="Times New Roman" w:cs="Times New Roman"/>
                          <w:b w:val="0"/>
                          <w:i w:val="0"/>
                          <w:iCs/>
                          <w:sz w:val="18"/>
                        </w:rPr>
                        <m:t>∂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Times New Roman" w:hAnsi="Times New Roman" w:cs="Times New Roman"/>
                          <w:b w:val="0"/>
                          <w:i w:val="0"/>
                          <w:iCs/>
                          <w:sz w:val="18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</w:rPr>
                      </m:ctrlPr>
                    </m:sup>
                  </m:sSup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  <w:sz w:val="18"/>
                        </w:rPr>
                        <m:t>L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  <w:sz w:val="18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</w:rPr>
                  </m:ctrlPr>
                </m:num>
                <m:den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  <w:sz w:val="18"/>
                    </w:rPr>
                    <m:t>∂</m:t>
                  </m:r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  <w:sz w:val="18"/>
                    </w:rPr>
                    <m:t>D</m:t>
                  </m:r>
                  <m:sSubSup>
                    <m:sSubSup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  <w:sz w:val="18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  <w:sz w:val="18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</w:rPr>
                      </m:ctrlPr>
                    </m:sub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Times New Roman" w:hAnsi="Times New Roman" w:cs="Times New Roman"/>
                          <w:b w:val="0"/>
                          <w:i w:val="0"/>
                          <w:iCs/>
                          <w:sz w:val="18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iCs/>
                  <w:sz w:val="18"/>
                </w:rPr>
                <m:t>=</m:t>
              </m:r>
              <m:f>
                <m:fPr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</w:rPr>
                  </m:ctrlPr>
                </m:fPr>
                <m:num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  <w:sz w:val="18"/>
                    </w:rPr>
                    <m:t>2</m:t>
                  </m:r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  <w:sz w:val="18"/>
                    </w:rPr>
                    <m:t>λ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</w:rPr>
                  </m:ctrlPr>
                </m:num>
                <m:den>
                  <m:sSup>
                    <m:sSup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</w:rPr>
                      </m:ctrlPr>
                    </m:sSup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  <w:sz w:val="18"/>
                        </w:rPr>
                        <m:t>f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Times New Roman" w:hAnsi="Times New Roman" w:cs="Times New Roman"/>
                          <w:b w:val="0"/>
                          <w:i w:val="0"/>
                          <w:iCs/>
                          <w:sz w:val="18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</w:rPr>
                      </m:ctrlPr>
                    </m:sup>
                  </m:sSup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iCs/>
                  <w:sz w:val="18"/>
                </w:rPr>
                <m:t>≥0</m:t>
              </m:r>
              <m:r>
                <m:rPr>
                  <m:sty m:val="p"/>
                </m:rPr>
                <w:rPr>
                  <w:rFonts w:hint="default" w:ascii="Cambria Math" w:hAnsi="Cambria Math" w:eastAsia="宋体" w:cs="Times New Roman"/>
                  <w:sz w:val="18"/>
                  <w:lang w:val="en-US" w:eastAsia="zh-CN"/>
                </w:rPr>
                <m:t>#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color w:val="282828"/>
                  <w:sz w:val="18"/>
                  <w:szCs w:val="24"/>
                </w:rPr>
                <m:t>(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b w:val="0"/>
                  <w:i w:val="0"/>
                  <w:color w:val="282828"/>
                  <w:sz w:val="18"/>
                  <w:szCs w:val="24"/>
                  <w:lang w:val="en-US" w:eastAsia="zh-CN"/>
                </w:rPr>
                <m:t>2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color w:val="282828"/>
                  <w:sz w:val="18"/>
                  <w:szCs w:val="24"/>
                </w:rPr>
                <m:t>)</m:t>
              </m:r>
              <m:ctrlPr>
                <w:rPr>
                  <w:rFonts w:hint="default" w:ascii="Cambria Math" w:hAnsi="Cambria Math" w:cs="Times New Roman"/>
                  <w:color w:val="282828"/>
                  <w:sz w:val="18"/>
                </w:rPr>
              </m:ctrlPr>
            </m:e>
          </m:eqArr>
        </m:oMath>
      </m:oMathPara>
    </w:p>
    <w:p w14:paraId="3F12AA0B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>因此，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λ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&gt;0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 时，单位缺陷值增加所产生的对数惩罚随当前缺陷值增大而增强；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λ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=0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 时，退化为原始指数衰减形式。该结论精确描述了二次项对高缺陷值的风险敏感作用。</w:t>
      </w:r>
    </w:p>
    <w:p w14:paraId="58BF1B15">
      <w:pPr>
        <w:pStyle w:val="4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0"/>
        <w:jc w:val="both"/>
        <w:textAlignment w:val="auto"/>
        <w:rPr>
          <w:rFonts w:hint="default" w:ascii="Times New Roman" w:hAnsi="Times New Roman" w:eastAsia="Noto Serif CJK SC" w:cs="Times New Roman"/>
          <w:b/>
          <w:bCs/>
          <w:sz w:val="21"/>
        </w:rPr>
      </w:pPr>
    </w:p>
    <w:p w14:paraId="10F42733">
      <w:pPr>
        <w:pStyle w:val="4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 w:firstLineChars="20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定理2</w:t>
      </w:r>
      <w:r>
        <w:rPr>
          <w:rFonts w:hint="default" w:ascii="Times New Roman" w:hAnsi="Times New Roman" w:eastAsia="Noto Serif CJK SC" w:cs="Times New Roman"/>
          <w:sz w:val="21"/>
        </w:rPr>
        <w:t xml:space="preserve"> </w:t>
      </w:r>
      <w:r>
        <w:rPr>
          <w:rFonts w:hint="default" w:ascii="Times New Roman" w:hAnsi="Times New Roman" w:eastAsia="宋体" w:cs="Times New Roman"/>
          <w:sz w:val="21"/>
          <w:lang w:val="en-US" w:eastAsia="zh-CN"/>
        </w:rPr>
        <w:t xml:space="preserve"> 原文</w:t>
      </w:r>
      <w:r>
        <w:rPr>
          <w:rFonts w:hint="default" w:ascii="Times New Roman" w:hAnsi="Times New Roman" w:eastAsia="Noto Serif CJK SC" w:cs="Times New Roman"/>
          <w:sz w:val="21"/>
        </w:rPr>
        <w:t>式（</w:t>
      </w:r>
      <w:r>
        <w:rPr>
          <w:rFonts w:hint="default" w:ascii="Times New Roman" w:hAnsi="Times New Roman" w:eastAsia="宋体" w:cs="Times New Roman"/>
          <w:sz w:val="21"/>
          <w:lang w:val="en-US" w:eastAsia="zh-CN"/>
        </w:rPr>
        <w:t>6</w:t>
      </w:r>
      <w:r>
        <w:rPr>
          <w:rFonts w:hint="default" w:ascii="Times New Roman" w:hAnsi="Times New Roman" w:eastAsia="Noto Serif CJK SC" w:cs="Times New Roman"/>
          <w:sz w:val="21"/>
        </w:rPr>
        <w:t>）的加权乘积模型满足下述性质。其中，比例性采用属性值之比的有界定义，替代性采用正值的属性边际替代比率定义。</w:t>
      </w:r>
    </w:p>
    <w:p w14:paraId="0E6038A9">
      <w:pPr>
        <w:pStyle w:val="4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（1）非负性。</w:t>
      </w:r>
      <w:r>
        <w:rPr>
          <w:rFonts w:hint="default" w:ascii="Times New Roman" w:hAnsi="Times New Roman" w:eastAsia="Noto Serif CJK SC" w:cs="Times New Roman"/>
          <w:sz w:val="21"/>
        </w:rPr>
        <w:t xml:space="preserve"> CNN整体可信度满足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T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W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H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&gt;0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，且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T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W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H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1</m:t>
        </m:r>
      </m:oMath>
      <w:r>
        <w:rPr>
          <w:rFonts w:hint="default" w:ascii="Times New Roman" w:hAnsi="Times New Roman" w:eastAsia="Noto Serif CJK SC" w:cs="Times New Roman"/>
          <w:sz w:val="21"/>
        </w:rPr>
        <w:t>。</w:t>
      </w:r>
    </w:p>
    <w:p w14:paraId="316FD7B0">
      <w:pPr>
        <w:pStyle w:val="4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0"/>
        <w:jc w:val="center"/>
        <w:textAlignment w:val="auto"/>
        <w:rPr>
          <w:rFonts w:hint="default" w:ascii="Times New Roman" w:hAnsi="Times New Roman" w:eastAsia="Noto Serif CJK SC" w:cs="Times New Roman"/>
          <w:sz w:val="21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证明：</w:t>
      </w:r>
      <w:r>
        <w:rPr>
          <w:rFonts w:hint="default" w:ascii="Times New Roman" w:hAnsi="Times New Roman" w:eastAsia="Noto Serif CJK SC" w:cs="Times New Roman"/>
          <w:sz w:val="21"/>
        </w:rPr>
        <w:t xml:space="preserve"> 由引理1知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0&lt;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1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，结合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β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≥0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，可得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0&lt;</m:t>
        </m:r>
        <m:sSubSup>
          <m:sSubSupPr>
            <m:ctrlPr>
              <w:rPr>
                <w:rFonts w:hint="default" w:ascii="Cambria Math" w:hAnsi="Cambria Math" w:cs="Times New Roman"/>
              </w:rPr>
            </m:ctrlPr>
          </m:sSubSup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  <m:sup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β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a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sup>
        </m:sSubSup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1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。有限个正因子的乘积仍为正，故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0&lt;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T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W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H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1</m:t>
        </m:r>
      </m:oMath>
      <w:r>
        <w:rPr>
          <w:rFonts w:hint="default" w:ascii="Times New Roman" w:hAnsi="Times New Roman" w:eastAsia="Noto Serif CJK SC" w:cs="Times New Roman"/>
          <w:sz w:val="21"/>
        </w:rPr>
        <w:t>。</w:t>
      </w:r>
    </w:p>
    <w:p w14:paraId="3D8E31E7">
      <w:pPr>
        <w:pStyle w:val="4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>因此，该模型满足非负性，且其评价结果严格大于0且不超过1。</w:t>
      </w:r>
    </w:p>
    <w:p w14:paraId="32C5D19F">
      <w:pPr>
        <w:pStyle w:val="4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（2）比例性。</w:t>
      </w:r>
      <w:r>
        <w:rPr>
          <w:rFonts w:hint="default" w:ascii="Times New Roman" w:hAnsi="Times New Roman" w:eastAsia="Noto Serif CJK SC" w:cs="Times New Roman"/>
          <w:sz w:val="21"/>
        </w:rPr>
        <w:t xml:space="preserve"> 任意两个可信属性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a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,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b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∈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P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H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 xml:space="preserve"> 的属性值之比存在统一的正常数上下界，即存在</w:t>
      </w:r>
      <w:r>
        <w:rPr>
          <w:rFonts w:hint="default" w:ascii="Times New Roman" w:hAnsi="Times New Roman" w:eastAsia="Noto Serif CJK SC" w:cs="Times New Roman"/>
          <w:i/>
          <w:iCs/>
          <w:sz w:val="21"/>
        </w:rPr>
        <w:t xml:space="preserve"> </w:t>
      </w:r>
      <m:oMath>
        <m:sSub>
          <m:sSubPr>
            <m:ctrlPr>
              <w:rPr>
                <w:rFonts w:hint="default" w:ascii="Cambria Math" w:hAnsi="Cambria Math" w:cs="Times New Roman"/>
                <w:i/>
                <w:iCs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z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iCs/>
              </w:rPr>
              <m:t>1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,</m:t>
        </m:r>
        <m:sSub>
          <m:sSubPr>
            <m:ctrlPr>
              <w:rPr>
                <w:rFonts w:hint="default" w:ascii="Cambria Math" w:hAnsi="Cambria Math" w:cs="Times New Roman"/>
                <w:i/>
                <w:iCs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z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iCs/>
              </w:rPr>
              <m:t>2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&gt;0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 使 </w:t>
      </w:r>
      <m:oMath>
        <m:sSub>
          <m:sSubPr>
            <m:ctrlPr>
              <w:rPr>
                <w:rFonts w:hint="default" w:ascii="Cambria Math" w:hAnsi="Cambria Math" w:cs="Times New Roman"/>
                <w:i/>
                <w:iCs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z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iCs/>
              </w:rPr>
              <m:t>1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≤</m:t>
        </m:r>
        <m:sSub>
          <m:sSubPr>
            <m:ctrlPr>
              <w:rPr>
                <w:rFonts w:hint="default" w:ascii="Cambria Math" w:hAnsi="Cambria Math" w:cs="Times New Roman"/>
                <w:i/>
                <w:iCs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y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a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/</m:t>
        </m:r>
        <m:sSub>
          <m:sSubPr>
            <m:ctrlPr>
              <w:rPr>
                <w:rFonts w:hint="default" w:ascii="Cambria Math" w:hAnsi="Cambria Math" w:cs="Times New Roman"/>
                <w:i/>
                <w:iCs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y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b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≤</m:t>
        </m:r>
        <m:sSub>
          <m:sSubPr>
            <m:ctrlPr>
              <w:rPr>
                <w:rFonts w:hint="default" w:ascii="Cambria Math" w:hAnsi="Cambria Math" w:cs="Times New Roman"/>
                <w:i/>
                <w:iCs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z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iCs/>
              </w:rPr>
              <m:t>2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>。</w:t>
      </w:r>
    </w:p>
    <w:p w14:paraId="4CC6B5D4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证明：</w:t>
      </w:r>
      <w:r>
        <w:rPr>
          <w:rFonts w:hint="default" w:ascii="Times New Roman" w:hAnsi="Times New Roman" w:eastAsia="宋体" w:cs="Times New Roman"/>
          <w:b/>
          <w:bCs/>
          <w:sz w:val="21"/>
          <w:lang w:val="en-US" w:eastAsia="zh-CN"/>
        </w:rPr>
        <w:t>由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δ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,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1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，且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δ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&gt;0</m:t>
        </m:r>
      </m:oMath>
      <w:r>
        <w:rPr>
          <w:rFonts w:hint="default" w:ascii="Times New Roman" w:hAnsi="Times New Roman" w:eastAsia="Noto Serif CJK SC" w:cs="Times New Roman"/>
          <w:sz w:val="21"/>
        </w:rPr>
        <w:t>，从而</w:t>
      </w:r>
    </w:p>
    <w:p w14:paraId="6ABC3D76">
      <w:pPr>
        <w:pStyle w:val="4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0"/>
        <w:jc w:val="center"/>
        <w:textAlignment w:val="auto"/>
        <w:rPr>
          <w:rFonts w:hint="default" w:ascii="Times New Roman" w:hAnsi="Times New Roman" w:cs="Times New Roman"/>
          <w:i w:val="0"/>
          <w:color w:val="282828"/>
          <w:sz w:val="18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cs="Times New Roman"/>
                  <w:color w:val="282828"/>
                  <w:sz w:val="18"/>
                </w:rPr>
              </m:ctrlPr>
            </m:eqArrPr>
            <m:e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</w:rPr>
                <m:t>δ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</w:rPr>
                <m:t>≤</m:t>
              </m:r>
              <m:f>
                <m:fPr>
                  <m:ctrlPr>
                    <w:rPr>
                      <w:rFonts w:hint="default"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b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</w:rPr>
                <m:t>≤</m:t>
              </m:r>
              <m:f>
                <m:fPr>
                  <m:ctrlPr>
                    <w:rPr>
                      <w:rFonts w:hint="default" w:ascii="Cambria Math" w:hAnsi="Cambria Math" w:cs="Times New Roman"/>
                    </w:rPr>
                  </m:ctrlPr>
                </m:fPr>
                <m:num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1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num>
                <m:den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δ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</w:rPr>
                <m:t>.  可取</m:t>
              </m:r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z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e>
                <m:sub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1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b>
              </m:s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iCs/>
                </w:rPr>
                <m:t>=</m:t>
              </m:r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  <w:iCs/>
                </w:rPr>
                <m:t>δ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iCs/>
                </w:rPr>
                <m:t>, </m:t>
              </m:r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z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e>
                <m:sub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b>
              </m:s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iCs/>
                </w:rPr>
                <m:t>=</m:t>
              </m:r>
              <m:sSup>
                <m:sSupP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δ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e>
                <m:sup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−1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p>
              </m:sSup>
              <m:r>
                <m:rPr>
                  <m:sty m:val="p"/>
                </m:rPr>
                <w:rPr>
                  <w:rFonts w:hint="default" w:ascii="Cambria Math" w:hAnsi="Cambria Math" w:eastAsia="宋体" w:cs="Times New Roman"/>
                  <w:lang w:val="en-US" w:eastAsia="zh-CN"/>
                </w:rPr>
                <m:t>#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color w:val="282828"/>
                  <w:sz w:val="18"/>
                </w:rPr>
                <m:t>(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b w:val="0"/>
                  <w:i w:val="0"/>
                  <w:color w:val="282828"/>
                  <w:sz w:val="18"/>
                  <w:lang w:val="en-US" w:eastAsia="zh-CN"/>
                </w:rPr>
                <m:t>3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color w:val="282828"/>
                  <w:sz w:val="18"/>
                </w:rPr>
                <m:t>)</m:t>
              </m:r>
              <m:ctrlPr>
                <w:rPr>
                  <w:rFonts w:hint="default" w:ascii="Cambria Math" w:hAnsi="Cambria Math" w:cs="Times New Roman"/>
                  <w:color w:val="282828"/>
                  <w:sz w:val="18"/>
                </w:rPr>
              </m:ctrlPr>
            </m:e>
          </m:eqArr>
        </m:oMath>
      </m:oMathPara>
    </w:p>
    <w:p w14:paraId="38693D85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 xml:space="preserve">故不同比较属性的取值比率有界。需要强调，这一统一有界结论依赖严重度上界及分层权重归一化；如果仅假设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0&lt;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1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 而允许缺陷值无上界，则不能保证存在与输入无关的正下界。</w:t>
      </w:r>
    </w:p>
    <w:p w14:paraId="08134814">
      <w:pPr>
        <w:pStyle w:val="4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（3）单调性。</w:t>
      </w:r>
      <w:r>
        <w:rPr>
          <w:rFonts w:hint="default" w:ascii="Times New Roman" w:hAnsi="Times New Roman" w:eastAsia="Noto Serif CJK SC" w:cs="Times New Roman"/>
          <w:sz w:val="21"/>
        </w:rPr>
        <w:t xml:space="preserve"> 当其他属性值保持不变时，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T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W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H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 xml:space="preserve"> 随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 xml:space="preserve"> 的增大不减，即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∂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T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W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H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/∂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≥0</m:t>
        </m:r>
      </m:oMath>
      <w:r>
        <w:rPr>
          <w:rFonts w:hint="default" w:ascii="Times New Roman" w:hAnsi="Times New Roman" w:eastAsia="Noto Serif CJK SC" w:cs="Times New Roman"/>
          <w:sz w:val="21"/>
        </w:rPr>
        <w:t>。</w:t>
      </w:r>
    </w:p>
    <w:p w14:paraId="6B9AAC1D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证明：</w:t>
      </w:r>
      <w:r>
        <w:rPr>
          <w:rFonts w:hint="default" w:ascii="Times New Roman" w:hAnsi="Times New Roman" w:eastAsia="Noto Serif CJK SC" w:cs="Times New Roman"/>
          <w:sz w:val="21"/>
        </w:rPr>
        <w:t xml:space="preserve"> 求偏导，</w:t>
      </w:r>
    </w:p>
    <w:p w14:paraId="09FD4ACC">
      <w:pPr>
        <w:pStyle w:val="4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0"/>
        <w:jc w:val="center"/>
        <w:textAlignment w:val="auto"/>
        <w:rPr>
          <w:rFonts w:hint="default" w:ascii="Times New Roman" w:hAnsi="Times New Roman" w:cs="Times New Roman"/>
          <w:i/>
          <w:color w:val="282828"/>
          <w:sz w:val="18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cs="Times New Roman"/>
                  <w:i/>
                  <w:iCs/>
                  <w:color w:val="282828"/>
                  <w:sz w:val="18"/>
                </w:rPr>
              </m:ctrlPr>
            </m:eqArrPr>
            <m:e>
              <m:f>
                <m:fP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fPr>
                <m:num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∂</m:t>
                  </m:r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T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W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H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num>
                <m:den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∂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iCs/>
                </w:rPr>
                <m:t>=</m:t>
              </m:r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β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b>
              </m:sSub>
              <m:sSubSup>
                <m:sSubSupP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y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b>
                <m:sup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β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b>
                  </m:sSub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−1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p>
              </m:sSubSup>
              <m:nary>
                <m:naryPr>
                  <m:chr m:val="∏"/>
                  <m:limLoc m:val="undOvr"/>
                  <m:supHide m:val="1"/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naryPr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b</m:t>
                  </m:r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∈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P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H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b>
                  </m:sSub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, </m:t>
                  </m:r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b</m:t>
                  </m:r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≠</m:t>
                  </m:r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b>
                <m:sup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​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p>
                <m:e>
                  <m:sSubSup>
                    <m:sSubSup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b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b>
                    <m:sup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i/>
                              <w:iCs/>
                            </w:rPr>
                            <m:t>β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i/>
                              <w:iCs/>
                            </w:rPr>
                            <m:t>b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e>
              </m:nary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iCs/>
                </w:rPr>
                <m:t>=</m:t>
              </m:r>
              <m:f>
                <m:fP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β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den>
              </m:f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  <w:iCs/>
                </w:rPr>
                <m:t>T</m:t>
              </m:r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W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H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b>
              </m:s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iCs/>
                </w:rPr>
                <m:t>≥0</m:t>
              </m:r>
              <m:r>
                <m:rPr>
                  <m:sty m:val="p"/>
                </m:rPr>
                <w:rPr>
                  <w:rFonts w:hint="default" w:ascii="Cambria Math" w:hAnsi="Cambria Math" w:eastAsia="宋体" w:cs="Times New Roman"/>
                  <w:lang w:val="en-US" w:eastAsia="zh-CN"/>
                </w:rPr>
                <m:t>#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color w:val="282828"/>
                  <w:sz w:val="18"/>
                </w:rPr>
                <m:t>(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b w:val="0"/>
                  <w:i w:val="0"/>
                  <w:color w:val="282828"/>
                  <w:sz w:val="18"/>
                  <w:lang w:val="en-US" w:eastAsia="zh-CN"/>
                </w:rPr>
                <m:t>4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color w:val="282828"/>
                  <w:sz w:val="18"/>
                </w:rPr>
                <m:t>)</m:t>
              </m:r>
              <m:ctrlPr>
                <w:rPr>
                  <w:rFonts w:hint="default" w:ascii="Cambria Math" w:hAnsi="Cambria Math" w:cs="Times New Roman"/>
                  <w:i/>
                  <w:iCs/>
                  <w:color w:val="282828"/>
                  <w:sz w:val="18"/>
                </w:rPr>
              </m:ctrlPr>
            </m:e>
          </m:eqArr>
        </m:oMath>
      </m:oMathPara>
    </w:p>
    <w:p w14:paraId="76E4F43C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 xml:space="preserve">当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β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&gt;0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 时偏导严格为正；当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β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=0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 时，该属性不影响整体可信度。</w:t>
      </w:r>
    </w:p>
    <w:p w14:paraId="4D171328">
      <w:pPr>
        <w:pStyle w:val="4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（4）凝聚性。</w:t>
      </w:r>
      <w:r>
        <w:rPr>
          <w:rFonts w:hint="default" w:ascii="Times New Roman" w:hAnsi="Times New Roman" w:eastAsia="Noto Serif CJK SC" w:cs="Times New Roman"/>
          <w:sz w:val="21"/>
        </w:rPr>
        <w:t xml:space="preserve"> 当其他属性值固定时，单一属性对整体可信度的边际贡献不增，即 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∂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>
            <m:nor/>
          </m:rPr>
          <w:rPr>
            <w:rFonts w:hint="default" w:ascii="Times New Roman" w:hAnsi="Times New Roman" w:cs="Times New Roman"/>
            <w:i/>
          </w:rPr>
          <m:t>T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W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H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/∂</m:t>
        </m:r>
        <m:sSubSup>
          <m:sSubSupPr>
            <m:ctrlPr>
              <w:rPr>
                <w:rFonts w:hint="default" w:ascii="Cambria Math" w:hAnsi="Cambria Math" w:cs="Times New Roman"/>
              </w:rPr>
            </m:ctrlPr>
          </m:sSubSup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bSup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≤0</m:t>
        </m:r>
      </m:oMath>
      <w:r>
        <w:rPr>
          <w:rFonts w:hint="default" w:ascii="Times New Roman" w:hAnsi="Times New Roman" w:eastAsia="Noto Serif CJK SC" w:cs="Times New Roman"/>
          <w:sz w:val="21"/>
        </w:rPr>
        <w:t>。</w:t>
      </w:r>
    </w:p>
    <w:p w14:paraId="3D106E23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证明：</w:t>
      </w:r>
      <w:r>
        <w:rPr>
          <w:rFonts w:hint="default" w:ascii="Times New Roman" w:hAnsi="Times New Roman" w:eastAsia="Noto Serif CJK SC" w:cs="Times New Roman"/>
          <w:sz w:val="21"/>
        </w:rPr>
        <w:t xml:space="preserve"> 在式（</w:t>
      </w:r>
      <w:r>
        <w:rPr>
          <w:rFonts w:hint="default" w:ascii="Times New Roman" w:hAnsi="Times New Roman" w:eastAsia="宋体" w:cs="Times New Roman"/>
          <w:sz w:val="21"/>
          <w:lang w:val="en-US" w:eastAsia="zh-CN"/>
        </w:rPr>
        <w:t>4</w:t>
      </w:r>
      <w:r>
        <w:rPr>
          <w:rFonts w:hint="default" w:ascii="Times New Roman" w:hAnsi="Times New Roman" w:eastAsia="Noto Serif CJK SC" w:cs="Times New Roman"/>
          <w:sz w:val="21"/>
        </w:rPr>
        <w:t>）的基础上继续求偏导，得</w:t>
      </w:r>
    </w:p>
    <w:p w14:paraId="5B91C1B0">
      <w:pPr>
        <w:pStyle w:val="4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0"/>
        <w:jc w:val="center"/>
        <w:textAlignment w:val="auto"/>
        <w:rPr>
          <w:rFonts w:hint="default" w:ascii="Times New Roman" w:hAnsi="Times New Roman" w:cs="Times New Roman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cs="Times New Roman"/>
                  <w:color w:val="282828"/>
                  <w:sz w:val="18"/>
                </w:rPr>
              </m:ctrlPr>
            </m:eqArrPr>
            <m:e>
              <m:f>
                <m:fP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fPr>
                <m:num>
                  <m:sSup>
                    <m:sSup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pPr>
                    <m:e>
                      <m:r>
                        <m:rPr>
                          <m:nor/>
                          <m:sty m:val="p"/>
                        </m:rPr>
                        <w:rPr>
                          <w:rFonts w:hint="default" w:ascii="Times New Roman" w:hAnsi="Times New Roman" w:cs="Times New Roman"/>
                          <w:b w:val="0"/>
                          <w:i w:val="0"/>
                          <w:iCs/>
                        </w:rPr>
                        <m:t>∂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Times New Roman" w:hAnsi="Times New Roman" w:cs="Times New Roman"/>
                          <w:b w:val="0"/>
                          <w:i w:val="0"/>
                          <w:iCs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p>
                  </m:sSup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T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W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H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num>
                <m:den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∂</m:t>
                  </m:r>
                  <m:sSubSup>
                    <m:sSubSup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b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Times New Roman" w:hAnsi="Times New Roman" w:cs="Times New Roman"/>
                          <w:b w:val="0"/>
                          <w:i w:val="0"/>
                          <w:iCs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iCs/>
                </w:rPr>
                <m:t>=</m:t>
              </m:r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β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b>
              </m:sSub>
              <m:d>
                <m:dPr>
                  <m:sepChr m:val=""/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β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b>
                  </m:sSub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−1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e>
              </m:d>
              <m:sSubSup>
                <m:sSubSupP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y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b>
                <m:sup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β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b>
                  </m:sSub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−2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p>
              </m:sSubSup>
              <m:nary>
                <m:naryPr>
                  <m:chr m:val="∏"/>
                  <m:limLoc m:val="undOvr"/>
                  <m:supHide m:val="1"/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naryPr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b</m:t>
                  </m:r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≠</m:t>
                  </m:r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b>
                <m:sup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​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p>
                <m:e>
                  <m:sSubSup>
                    <m:sSubSup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b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b>
                    <m:sup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i/>
                              <w:iCs/>
                            </w:rPr>
                            <m:t>β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i/>
                              <w:iCs/>
                            </w:rPr>
                            <m:t>b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e>
              </m:nary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iCs/>
                </w:rPr>
                <m:t>=</m:t>
              </m:r>
              <m:f>
                <m:fP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β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b>
                  </m:sSub>
                  <m:d>
                    <m:dPr>
                      <m:sepChr m:val=""/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i/>
                              <w:iCs/>
                            </w:rPr>
                            <m:t>β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i/>
                              <w:iCs/>
                            </w:rPr>
                            <m:t>a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</w:rPr>
                          </m:ctrlPr>
                        </m:sub>
                      </m:sSub>
                      <m:r>
                        <m:rPr>
                          <m:nor/>
                          <m:sty m:val="p"/>
                        </m:rPr>
                        <w:rPr>
                          <w:rFonts w:hint="default" w:ascii="Times New Roman" w:hAnsi="Times New Roman" w:cs="Times New Roman"/>
                          <w:b w:val="0"/>
                          <w:i w:val="0"/>
                          <w:iCs/>
                        </w:rPr>
                        <m:t>−1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</m:d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num>
                <m:den>
                  <m:sSubSup>
                    <m:sSubSup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b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Times New Roman" w:hAnsi="Times New Roman" w:cs="Times New Roman"/>
                          <w:b w:val="0"/>
                          <w:i w:val="0"/>
                          <w:iCs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den>
              </m:f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  <w:iCs/>
                </w:rPr>
                <m:t>T</m:t>
              </m:r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W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H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b>
              </m:s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iCs/>
                </w:rPr>
                <m:t>≤0</m:t>
              </m:r>
              <m:r>
                <m:rPr>
                  <m:sty m:val="p"/>
                </m:rPr>
                <w:rPr>
                  <w:rFonts w:hint="default" w:ascii="Cambria Math" w:hAnsi="Cambria Math" w:eastAsia="宋体" w:cs="Times New Roman"/>
                  <w:lang w:val="en-US" w:eastAsia="zh-CN"/>
                </w:rPr>
                <m:t>#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color w:val="282828"/>
                  <w:sz w:val="18"/>
                </w:rPr>
                <m:t>(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b w:val="0"/>
                  <w:i w:val="0"/>
                  <w:color w:val="282828"/>
                  <w:sz w:val="18"/>
                  <w:lang w:val="en-US" w:eastAsia="zh-CN"/>
                </w:rPr>
                <m:t>5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color w:val="282828"/>
                  <w:sz w:val="18"/>
                </w:rPr>
                <m:t>)</m:t>
              </m:r>
              <m:ctrlPr>
                <w:rPr>
                  <w:rFonts w:hint="default" w:ascii="Cambria Math" w:hAnsi="Cambria Math" w:cs="Times New Roman"/>
                  <w:color w:val="282828"/>
                  <w:sz w:val="18"/>
                </w:rPr>
              </m:ctrlPr>
            </m:e>
          </m:eqArr>
        </m:oMath>
      </m:oMathPara>
    </w:p>
    <w:p w14:paraId="5D619CD8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 xml:space="preserve">这是因为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0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≤</m:t>
        </m:r>
        <m:sSub>
          <m:sSubPr>
            <m:ctrlPr>
              <w:rPr>
                <w:rFonts w:hint="default" w:ascii="Cambria Math" w:hAnsi="Cambria Math" w:cs="Times New Roman"/>
                <w:i/>
                <w:iCs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β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a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≤1</m:t>
        </m:r>
      </m:oMath>
      <w:r>
        <w:rPr>
          <w:rFonts w:hint="default" w:ascii="Times New Roman" w:hAnsi="Times New Roman" w:eastAsia="Noto Serif CJK SC" w:cs="Times New Roman"/>
          <w:i/>
          <w:iCs/>
          <w:sz w:val="21"/>
        </w:rPr>
        <w:t>、</w:t>
      </w:r>
      <m:oMath>
        <m:r>
          <m:rPr>
            <m:nor/>
          </m:rPr>
          <w:rPr>
            <w:rFonts w:hint="default" w:ascii="Times New Roman" w:hAnsi="Times New Roman" w:cs="Times New Roman"/>
            <w:i/>
            <w:iCs/>
          </w:rPr>
          <m:t>T</m:t>
        </m:r>
        <m:sSub>
          <m:sSubPr>
            <m:ctrlPr>
              <w:rPr>
                <w:rFonts w:hint="default" w:ascii="Cambria Math" w:hAnsi="Cambria Math" w:cs="Times New Roman"/>
                <w:i/>
                <w:iCs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W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H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&gt;0</m:t>
        </m:r>
      </m:oMath>
      <w:r>
        <w:rPr>
          <w:rFonts w:hint="default" w:ascii="Times New Roman" w:hAnsi="Times New Roman" w:eastAsia="Noto Serif CJK SC" w:cs="Times New Roman"/>
          <w:i/>
          <w:iCs/>
          <w:sz w:val="21"/>
        </w:rPr>
        <w:t>、</w:t>
      </w:r>
      <m:oMath>
        <m:sSub>
          <m:sSubPr>
            <m:ctrlPr>
              <w:rPr>
                <w:rFonts w:hint="default" w:ascii="Cambria Math" w:hAnsi="Cambria Math" w:cs="Times New Roman"/>
                <w:i/>
                <w:iCs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y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a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&gt;0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。当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 w:val="0"/>
          </w:rPr>
          <m:t>0&lt;</m:t>
        </m:r>
        <m:sSub>
          <m:sSubPr>
            <m:ctrlPr>
              <w:rPr>
                <w:rFonts w:hint="default" w:ascii="Cambria Math" w:hAnsi="Cambria Math" w:cs="Times New Roman"/>
                <w:i/>
                <w:iCs w:val="0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iCs w:val="0"/>
              </w:rPr>
              <m:t>β</m:t>
            </m:r>
            <m:ctrlPr>
              <w:rPr>
                <w:rFonts w:hint="default" w:ascii="Cambria Math" w:hAnsi="Cambria Math" w:cs="Times New Roman"/>
                <w:i/>
                <w:iCs w:val="0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  <w:iCs w:val="0"/>
              </w:rPr>
              <m:t>a</m:t>
            </m:r>
            <m:ctrlPr>
              <w:rPr>
                <w:rFonts w:hint="default" w:ascii="Cambria Math" w:hAnsi="Cambria Math" w:cs="Times New Roman"/>
                <w:i/>
                <w:iCs w:val="0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 w:val="0"/>
          </w:rPr>
          <m:t>&lt;1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 时边际贡献严格递减；当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β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=0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 或 </w:t>
      </w:r>
      <m:oMath>
        <m:sSub>
          <m:sSubPr>
            <m:ctrlPr>
              <w:rPr>
                <w:rFonts w:hint="default" w:ascii="Cambria Math" w:hAnsi="Cambria Math" w:cs="Times New Roman"/>
                <w:i/>
                <w:iCs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β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a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=1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 时二阶导数为零，边际贡献保持不变。</w:t>
      </w:r>
    </w:p>
    <w:p w14:paraId="35533E4E">
      <w:pPr>
        <w:pStyle w:val="4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（5）灵敏性。</w:t>
      </w:r>
      <w:r>
        <w:rPr>
          <w:rFonts w:hint="default" w:ascii="Times New Roman" w:hAnsi="Times New Roman" w:eastAsia="Noto Serif CJK SC" w:cs="Times New Roman"/>
          <w:sz w:val="21"/>
        </w:rPr>
        <w:t xml:space="preserve"> 属性值变化对整体可信度的相对影响由对应权重刻画，其弹性系数非负。</w:t>
      </w:r>
    </w:p>
    <w:p w14:paraId="061B9A21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证明：</w:t>
      </w:r>
      <w:r>
        <w:rPr>
          <w:rFonts w:hint="default" w:ascii="Times New Roman" w:hAnsi="Times New Roman" w:eastAsia="Noto Serif CJK SC" w:cs="Times New Roman"/>
          <w:sz w:val="21"/>
        </w:rPr>
        <w:t xml:space="preserve"> 依照原证明稿的灵敏性指标，定义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E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∂</m:t>
            </m:r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T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W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H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∂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a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den>
        </m:f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a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T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W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H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den>
        </m:f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.</m:t>
        </m:r>
      </m:oMath>
    </w:p>
    <w:p w14:paraId="7D0E7B03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>代入式（</w:t>
      </w:r>
      <w:r>
        <w:rPr>
          <w:rFonts w:hint="default" w:ascii="Times New Roman" w:hAnsi="Times New Roman" w:eastAsia="宋体" w:cs="Times New Roman"/>
          <w:sz w:val="21"/>
          <w:lang w:val="en-US" w:eastAsia="zh-CN"/>
        </w:rPr>
        <w:t>4</w:t>
      </w:r>
      <w:r>
        <w:rPr>
          <w:rFonts w:hint="default" w:ascii="Times New Roman" w:hAnsi="Times New Roman" w:eastAsia="Noto Serif CJK SC" w:cs="Times New Roman"/>
          <w:sz w:val="21"/>
        </w:rPr>
        <w:t>），直接得到</w:t>
      </w:r>
    </w:p>
    <w:p w14:paraId="02422373">
      <w:pPr>
        <w:pStyle w:val="4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0"/>
        <w:jc w:val="center"/>
        <w:textAlignment w:val="auto"/>
        <w:rPr>
          <w:rFonts w:hint="default" w:ascii="Times New Roman" w:hAnsi="Times New Roman" w:cs="Times New Roman"/>
          <w:i w:val="0"/>
          <w:color w:val="282828"/>
          <w:sz w:val="18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cs="Times New Roman"/>
                  <w:color w:val="282828"/>
                  <w:sz w:val="18"/>
                </w:rPr>
              </m:ctrlPr>
            </m:eqArrPr>
            <m:e>
              <m:sSub>
                <m:sSubPr>
                  <m:ctrlPr>
                    <w:rPr>
                      <w:rFonts w:hint="default"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E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sub>
              </m:s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</w:rPr>
                <m:t>=</m:t>
              </m:r>
              <m:f>
                <m:fPr>
                  <m:ctrlPr>
                    <w:rPr>
                      <w:rFonts w:hint="default"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β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den>
              </m:f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</w:rPr>
                <m:t>T</m:t>
              </m:r>
              <m:sSub>
                <m:sSubPr>
                  <m:ctrlPr>
                    <w:rPr>
                      <w:rFonts w:hint="default"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W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H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sub>
              </m:sSub>
              <m:f>
                <m:fPr>
                  <m:ctrlPr>
                    <w:rPr>
                      <w:rFonts w:hint="default"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num>
                <m:den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T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W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H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</w:rPr>
                <m:t>=</m:t>
              </m:r>
              <m:sSub>
                <m:sSubPr>
                  <m:ctrlPr>
                    <w:rPr>
                      <w:rFonts w:hint="default"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β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sub>
              </m:s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</w:rPr>
                <m:t>≥0, 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iCs w:val="0"/>
                </w:rPr>
                <m:t> 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hint="default" w:ascii="Cambria Math" w:hAnsi="Cambria Math" w:cs="Times New Roman"/>
                      <w:i/>
                      <w:iCs w:val="0"/>
                    </w:rPr>
                  </m:ctrlPr>
                </m:naryPr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 w:val="0"/>
                    </w:rPr>
                    <m:t>a</m:t>
                  </m:r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 w:val="0"/>
                    </w:rPr>
                    <m:t>∈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 w:val="0"/>
                        </w:rPr>
                        <m:t>P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 w:val="0"/>
                        </w:rPr>
                        <m:t>H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i/>
                      <w:iCs w:val="0"/>
                    </w:rPr>
                  </m:ctrlPr>
                </m:sub>
                <m:sup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 w:val="0"/>
                    </w:rPr>
                    <m:t>​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</w:rPr>
                  </m:ctrlPr>
                </m:sup>
                <m:e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 w:val="0"/>
                        </w:rPr>
                        <m:t>E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 w:val="0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i/>
                      <w:iCs w:val="0"/>
                    </w:rPr>
                  </m:ctrlPr>
                </m:e>
              </m:nary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iCs w:val="0"/>
                </w:rPr>
                <m:t>=1</m:t>
              </m:r>
              <m:r>
                <m:rPr>
                  <m:sty m:val="p"/>
                </m:rPr>
                <w:rPr>
                  <w:rFonts w:hint="default" w:ascii="Cambria Math" w:hAnsi="Cambria Math" w:eastAsia="宋体" w:cs="Times New Roman"/>
                  <w:lang w:val="en-US" w:eastAsia="zh-CN"/>
                </w:rPr>
                <m:t>#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color w:val="282828"/>
                  <w:sz w:val="18"/>
                </w:rPr>
                <m:t>(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b w:val="0"/>
                  <w:i w:val="0"/>
                  <w:color w:val="282828"/>
                  <w:sz w:val="18"/>
                  <w:lang w:val="en-US" w:eastAsia="zh-CN"/>
                </w:rPr>
                <m:t>6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color w:val="282828"/>
                  <w:sz w:val="18"/>
                </w:rPr>
                <m:t>)</m:t>
              </m:r>
              <m:ctrlPr>
                <w:rPr>
                  <w:rFonts w:hint="default" w:ascii="Cambria Math" w:hAnsi="Cambria Math" w:cs="Times New Roman"/>
                  <w:color w:val="282828"/>
                  <w:sz w:val="18"/>
                </w:rPr>
              </m:ctrlPr>
            </m:e>
          </m:eqArr>
        </m:oMath>
      </m:oMathPara>
    </w:p>
    <w:p w14:paraId="0DD46521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>这表明在其他属性值不变时，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 xml:space="preserve"> 的相对变化引起的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T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W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H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 xml:space="preserve"> 相对变化等于该变化率乘以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β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>（在微小变化的一阶近似下）。故模型的相对灵敏性与属性权重一致。</w:t>
      </w:r>
    </w:p>
    <w:p w14:paraId="7AD0D20C">
      <w:pPr>
        <w:pStyle w:val="4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（6）替代性。</w:t>
      </w:r>
      <w:r>
        <w:rPr>
          <w:rFonts w:hint="default" w:ascii="Times New Roman" w:hAnsi="Times New Roman" w:eastAsia="Noto Serif CJK SC" w:cs="Times New Roman"/>
          <w:sz w:val="21"/>
        </w:rPr>
        <w:t xml:space="preserve"> 对任意不同属性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a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,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b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，若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β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,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β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&gt;0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，则在其他属性固定且整体可信度不变时，两种属性可局部相互补偿；其边际替代率有界，替代弹性为常数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1</m:t>
        </m:r>
      </m:oMath>
      <w:r>
        <w:rPr>
          <w:rFonts w:hint="default" w:ascii="Times New Roman" w:hAnsi="Times New Roman" w:eastAsia="Noto Serif CJK SC" w:cs="Times New Roman"/>
          <w:sz w:val="21"/>
        </w:rPr>
        <w:t>。</w:t>
      </w:r>
    </w:p>
    <w:p w14:paraId="0FD5BA2E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证明：</w:t>
      </w:r>
      <w:r>
        <w:rPr>
          <w:rFonts w:hint="default" w:ascii="Times New Roman" w:hAnsi="Times New Roman" w:eastAsia="Noto Serif CJK SC" w:cs="Times New Roman"/>
          <w:sz w:val="21"/>
        </w:rPr>
        <w:t xml:space="preserve"> 记边际贡献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M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=∂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T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W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H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/∂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>、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M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=∂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T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W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H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/∂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>。由式（</w:t>
      </w:r>
      <w:r>
        <w:rPr>
          <w:rFonts w:hint="default" w:ascii="Times New Roman" w:hAnsi="Times New Roman" w:eastAsia="宋体" w:cs="Times New Roman"/>
          <w:sz w:val="21"/>
          <w:lang w:val="en-US" w:eastAsia="zh-CN"/>
        </w:rPr>
        <w:t>4</w:t>
      </w:r>
      <w:r>
        <w:rPr>
          <w:rFonts w:hint="default" w:ascii="Times New Roman" w:hAnsi="Times New Roman" w:eastAsia="Noto Serif CJK SC" w:cs="Times New Roman"/>
          <w:sz w:val="21"/>
        </w:rPr>
        <w:t>），</w:t>
      </w:r>
    </w:p>
    <w:p w14:paraId="6BA9640B">
      <w:pPr>
        <w:pStyle w:val="4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0"/>
        <w:jc w:val="center"/>
        <w:textAlignment w:val="auto"/>
        <w:rPr>
          <w:rFonts w:hint="default" w:ascii="Times New Roman" w:hAnsi="Times New Roman" w:cs="Times New Roman"/>
          <w:i w:val="0"/>
          <w:color w:val="282828"/>
          <w:sz w:val="18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cs="Times New Roman"/>
                  <w:color w:val="282828"/>
                  <w:sz w:val="18"/>
                </w:rPr>
              </m:ctrlPr>
            </m:eqArrPr>
            <m:e>
              <m:sSub>
                <m:sSubPr>
                  <m:ctrlPr>
                    <w:rPr>
                      <w:rFonts w:hint="default"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M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sub>
              </m:s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</w:rPr>
                <m:t>=</m:t>
              </m:r>
              <m:f>
                <m:fPr>
                  <m:ctrlPr>
                    <w:rPr>
                      <w:rFonts w:hint="default"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β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den>
              </m:f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</w:rPr>
                <m:t>T</m:t>
              </m:r>
              <m:sSub>
                <m:sSubPr>
                  <m:ctrlPr>
                    <w:rPr>
                      <w:rFonts w:hint="default"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W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H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sub>
              </m:s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</w:rPr>
                <m:t>,  </m:t>
              </m:r>
              <m:sSub>
                <m:sSubPr>
                  <m:ctrlPr>
                    <w:rPr>
                      <w:rFonts w:hint="default"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M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b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sub>
              </m:s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</w:rPr>
                <m:t>=</m:t>
              </m:r>
              <m:f>
                <m:fPr>
                  <m:ctrlPr>
                    <w:rPr>
                      <w:rFonts w:hint="default"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β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b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b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den>
              </m:f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</w:rPr>
                <m:t>T</m:t>
              </m:r>
              <m:sSub>
                <m:sSubPr>
                  <m:ctrlPr>
                    <w:rPr>
                      <w:rFonts w:hint="default"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W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H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宋体" w:cs="Times New Roman"/>
                  <w:lang w:val="en-US" w:eastAsia="zh-CN"/>
                </w:rPr>
                <m:t>#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color w:val="282828"/>
                  <w:sz w:val="18"/>
                </w:rPr>
                <m:t>(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b w:val="0"/>
                  <w:i w:val="0"/>
                  <w:color w:val="282828"/>
                  <w:sz w:val="18"/>
                  <w:lang w:val="en-US" w:eastAsia="zh-CN"/>
                </w:rPr>
                <m:t>7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color w:val="282828"/>
                  <w:sz w:val="18"/>
                </w:rPr>
                <m:t>)</m:t>
              </m:r>
              <m:ctrlPr>
                <w:rPr>
                  <w:rFonts w:hint="default" w:ascii="Cambria Math" w:hAnsi="Cambria Math" w:cs="Times New Roman"/>
                  <w:color w:val="282828"/>
                  <w:sz w:val="18"/>
                </w:rPr>
              </m:ctrlPr>
            </m:e>
          </m:eqArr>
        </m:oMath>
      </m:oMathPara>
    </w:p>
    <w:p w14:paraId="48C9B5B3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 xml:space="preserve">沿着整体可信度固定的等值曲线，有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dT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W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H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M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 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+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M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 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=0</m:t>
        </m:r>
      </m:oMath>
      <w:r>
        <w:rPr>
          <w:rFonts w:hint="default" w:ascii="Times New Roman" w:hAnsi="Times New Roman" w:eastAsia="Noto Serif CJK SC" w:cs="Times New Roman"/>
          <w:sz w:val="21"/>
        </w:rPr>
        <w:t>，因而</w:t>
      </w:r>
    </w:p>
    <w:p w14:paraId="647C0E76">
      <w:pPr>
        <w:pStyle w:val="4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0"/>
        <w:jc w:val="center"/>
        <w:textAlignment w:val="auto"/>
        <w:rPr>
          <w:rFonts w:hint="default" w:ascii="Times New Roman" w:hAnsi="Times New Roman" w:cs="Times New Roman"/>
          <w:i w:val="0"/>
          <w:color w:val="282828"/>
          <w:sz w:val="18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cs="Times New Roman"/>
                  <w:color w:val="282828"/>
                  <w:sz w:val="18"/>
                </w:rPr>
              </m:ctrlPr>
            </m:eqArrPr>
            <m:e>
              <m:sSub>
                <m:sSubPr>
                  <m:ctrlPr>
                    <w:rPr>
                      <w:rFonts w:hint="default" w:ascii="Cambria Math" w:hAnsi="Cambria Math" w:cs="Times New Roman"/>
                    </w:rPr>
                  </m:ctrlPr>
                </m:sSubPr>
                <m:e>
                  <m:d>
                    <m:dPr>
                      <m:begChr m:val=""/>
                      <m:sepChr m:val=""/>
                      <m:endChr m:val="|"/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hint="default" w:ascii="Cambria Math" w:hAnsi="Cambria Math" w:cs="Times New Roman"/>
                            </w:rPr>
                          </m:ctrlPr>
                        </m:fPr>
                        <m:num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i/>
                            </w:rPr>
                            <m:t>d</m:t>
                          </m:r>
                          <m:sSub>
                            <m:sSubPr>
                              <m:ctrlPr>
                                <w:rPr>
                                  <w:rFonts w:hint="default" w:ascii="Cambria Math" w:hAnsi="Cambria Math" w:cs="Times New Roman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hint="default" w:ascii="Times New Roman" w:hAnsi="Times New Roman" w:cs="Times New Roman"/>
                                  <w:i/>
                                </w:rPr>
                                <m:t>y</m:t>
                              </m:r>
                              <m:ctrlPr>
                                <w:rPr>
                                  <w:rFonts w:hint="default" w:ascii="Cambria Math" w:hAnsi="Cambria Math" w:cs="Times New Roman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hint="default" w:ascii="Times New Roman" w:hAnsi="Times New Roman" w:cs="Times New Roman"/>
                                  <w:i/>
                                </w:rPr>
                                <m:t>b</m:t>
                              </m:r>
                              <m:ctrlPr>
                                <w:rPr>
                                  <w:rFonts w:hint="default" w:ascii="Cambria Math" w:hAnsi="Cambria Math" w:cs="Times New Roman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default" w:ascii="Cambria Math" w:hAnsi="Cambria Math" w:cs="Times New Roman"/>
                            </w:rPr>
                          </m:ctrlPr>
                        </m:num>
                        <m:den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i/>
                            </w:rPr>
                            <m:t>d</m:t>
                          </m:r>
                          <m:sSub>
                            <m:sSubPr>
                              <m:ctrlPr>
                                <w:rPr>
                                  <w:rFonts w:hint="default" w:ascii="Cambria Math" w:hAnsi="Cambria Math" w:cs="Times New Roman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hint="default" w:ascii="Times New Roman" w:hAnsi="Times New Roman" w:cs="Times New Roman"/>
                                  <w:i/>
                                </w:rPr>
                                <m:t>y</m:t>
                              </m:r>
                              <m:ctrlPr>
                                <w:rPr>
                                  <w:rFonts w:hint="default" w:ascii="Cambria Math" w:hAnsi="Cambria Math" w:cs="Times New Roman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hint="default" w:ascii="Times New Roman" w:hAnsi="Times New Roman" w:cs="Times New Roman"/>
                                  <w:i/>
                                </w:rPr>
                                <m:t>a</m:t>
                              </m:r>
                              <m:ctrlPr>
                                <w:rPr>
                                  <w:rFonts w:hint="default" w:ascii="Cambria Math" w:hAnsi="Cambria Math" w:cs="Times New Roman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default" w:ascii="Cambria Math" w:hAnsi="Cambria Math" w:cs="Times New Roman"/>
                            </w:rPr>
                          </m:ctrlPr>
                        </m:den>
                      </m:f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</m:d>
                  <m:ctrlPr>
                    <w:rPr>
                      <w:rFonts w:hint="default" w:ascii="Cambria Math" w:hAnsi="Cambria Math" w:cs="Times New Roman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T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W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H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sub>
              </m:s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</w:rPr>
                <m:t>=−</m:t>
              </m:r>
              <m:f>
                <m:fPr>
                  <m:ctrlPr>
                    <w:rPr>
                      <w:rFonts w:hint="default"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M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M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b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</w:rPr>
                <m:t>=−</m:t>
              </m:r>
              <m:f>
                <m:fPr>
                  <m:ctrlPr>
                    <w:rPr>
                      <w:rFonts w:hint="default"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β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β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b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den>
              </m:f>
              <m:f>
                <m:fPr>
                  <m:ctrlPr>
                    <w:rPr>
                      <w:rFonts w:hint="default"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b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den>
              </m:f>
              <m:r>
                <m:rPr>
                  <m:sty m:val="p"/>
                </m:rPr>
                <w:rPr>
                  <w:rFonts w:hint="default" w:ascii="Cambria Math" w:hAnsi="Cambria Math" w:eastAsia="宋体" w:cs="Times New Roman"/>
                  <w:lang w:val="en-US" w:eastAsia="zh-CN"/>
                </w:rPr>
                <m:t>#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color w:val="282828"/>
                  <w:sz w:val="18"/>
                </w:rPr>
                <m:t>(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b w:val="0"/>
                  <w:i w:val="0"/>
                  <w:color w:val="282828"/>
                  <w:sz w:val="18"/>
                  <w:lang w:val="en-US" w:eastAsia="zh-CN"/>
                </w:rPr>
                <m:t>8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color w:val="282828"/>
                  <w:sz w:val="18"/>
                </w:rPr>
                <m:t>)</m:t>
              </m:r>
              <m:ctrlPr>
                <w:rPr>
                  <w:rFonts w:hint="default" w:ascii="Cambria Math" w:hAnsi="Cambria Math" w:cs="Times New Roman"/>
                  <w:color w:val="282828"/>
                  <w:sz w:val="18"/>
                </w:rPr>
              </m:ctrlPr>
            </m:e>
          </m:eqArr>
        </m:oMath>
      </m:oMathPara>
    </w:p>
    <w:p w14:paraId="5A03C3AA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>根据上述属性值的统一上下界，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δ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/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δ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−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iCs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eastAsia="Noto Serif CJK SC" w:cs="Times New Roman"/>
          <w:sz w:val="21"/>
        </w:rPr>
        <w:t>，所以</w:t>
      </w:r>
    </w:p>
    <w:p w14:paraId="45D47323">
      <w:pPr>
        <w:pStyle w:val="4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0"/>
        <w:jc w:val="center"/>
        <w:textAlignment w:val="auto"/>
        <w:rPr>
          <w:rFonts w:hint="default" w:ascii="Times New Roman" w:hAnsi="Times New Roman" w:cs="Times New Roman"/>
        </w:rPr>
      </w:pPr>
      <m:oMath>
        <m:eqArr>
          <m:eqArrPr>
            <m:maxDist m:val="1"/>
            <m:ctrlPr>
              <w:rPr>
                <w:rFonts w:hint="default" w:ascii="Cambria Math" w:hAnsi="Cambria Math" w:cs="Times New Roman"/>
                <w:color w:val="282828"/>
                <w:sz w:val="18"/>
              </w:rPr>
            </m:ctrlPr>
          </m:eqArr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sSub>
                  <m:sSubPr>
                    <m:ctrlPr>
                      <w:rPr>
                        <w:rFonts w:hint="default" w:ascii="Cambria Math" w:hAnsi="Cambria Math" w:cs="Times New Roman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β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a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sub>
                </m:sSub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sSub>
                  <m:sSubPr>
                    <m:ctrlPr>
                      <w:rPr>
                        <w:rFonts w:hint="default" w:ascii="Cambria Math" w:hAnsi="Cambria Math" w:cs="Times New Roman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β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b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sub>
                </m:sSub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δ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≤</m:t>
            </m:r>
            <m:d>
              <m:dPr>
                <m:begChr m:val="|"/>
                <m:sepChr m:val=""/>
                <m:endChr m:val="|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f>
                  <m:fPr>
                    <m:ctrlPr>
                      <w:rPr>
                        <w:rFonts w:hint="default" w:ascii="Cambria Math" w:hAnsi="Cambria Math" w:cs="Times New Roman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d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</w:rPr>
                          <m:t>b</m:t>
                        </m: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</w:rPr>
                    </m:ctrlPr>
                  </m:num>
                  <m:den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d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</w:rPr>
                          <m:t>a</m:t>
                        </m: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≤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sSub>
                  <m:sSubPr>
                    <m:ctrlPr>
                      <w:rPr>
                        <w:rFonts w:hint="default" w:ascii="Cambria Math" w:hAnsi="Cambria Math" w:cs="Times New Roman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β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a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sub>
                </m:sSub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sSub>
                  <m:sSubPr>
                    <m:ctrlPr>
                      <w:rPr>
                        <w:rFonts w:hint="default" w:ascii="Cambria Math" w:hAnsi="Cambria Math" w:cs="Times New Roman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β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b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sub>
                </m:sSub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sSup>
              <m:sSupPr>
                <m:ctrlPr>
                  <w:rPr>
                    <w:rFonts w:hint="default" w:ascii="Cambria Math" w:hAnsi="Cambria Math" w:cs="Times New Roman"/>
                  </w:rPr>
                </m:ctrlPr>
              </m:sSup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δ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p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</w:rPr>
                  <m:t>−</m:t>
                </m:r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  <w:iCs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p>
            </m:sSup>
            <m:r>
              <m:rPr>
                <m:sty m:val="p"/>
              </m:rPr>
              <w:rPr>
                <w:rFonts w:hint="default" w:ascii="Cambria Math" w:hAnsi="Cambria Math" w:eastAsia="宋体" w:cs="Times New Roman"/>
                <w:lang w:val="en-US" w:eastAsia="zh-CN"/>
              </w:rPr>
              <m:t>#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282828"/>
                <w:sz w:val="18"/>
              </w:rPr>
              <m:t>(</m:t>
            </m:r>
            <m:r>
              <m:rPr>
                <m:nor/>
                <m:sty m:val="p"/>
              </m:rPr>
              <w:rPr>
                <w:rFonts w:hint="default" w:ascii="Times New Roman" w:hAnsi="Times New Roman" w:eastAsia="宋体" w:cs="Times New Roman"/>
                <w:b w:val="0"/>
                <w:i w:val="0"/>
                <w:color w:val="282828"/>
                <w:sz w:val="18"/>
                <w:lang w:val="en-US" w:eastAsia="zh-CN"/>
              </w:rPr>
              <m:t>9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282828"/>
                <w:sz w:val="18"/>
              </w:rPr>
              <m:t>)</m:t>
            </m:r>
            <m:ctrlPr>
              <w:rPr>
                <w:rFonts w:hint="default" w:ascii="Cambria Math" w:hAnsi="Cambria Math" w:cs="Times New Roman"/>
                <w:color w:val="282828"/>
                <w:sz w:val="18"/>
              </w:rPr>
            </m:ctrlPr>
          </m:e>
        </m:eqArr>
      </m:oMath>
      <w:r>
        <w:rPr>
          <w:rFonts w:hint="default" w:ascii="Times New Roman" w:hAnsi="Times New Roman" w:cs="Times New Roman"/>
          <w:color w:val="282828"/>
          <w:sz w:val="18"/>
        </w:rPr>
        <w:t xml:space="preserve">    </w:t>
      </w:r>
    </w:p>
    <w:p w14:paraId="79AADA8B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 xml:space="preserve">从而边际替代率具有正的有限上下界。进一步令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r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/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 xml:space="preserve">，取正值比率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q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,</m:t>
            </m:r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M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/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M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>，可得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q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,</m:t>
            </m:r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β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b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β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a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den>
        </m:f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a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b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den>
        </m:f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β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b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β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a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den>
        </m:f>
        <m:r>
          <m:rPr>
            <m:nor/>
          </m:rPr>
          <w:rPr>
            <w:rFonts w:hint="default" w:ascii="Times New Roman" w:hAnsi="Times New Roman" w:cs="Times New Roman"/>
            <w:i/>
          </w:rPr>
          <m:t>r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.</m:t>
        </m:r>
      </m:oMath>
    </w:p>
    <w:p w14:paraId="40251750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 xml:space="preserve">采用替代弹性的正值定义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σ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,</m:t>
            </m:r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ln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r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/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ln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q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,</m:t>
            </m:r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>，即</w:t>
      </w:r>
    </w:p>
    <w:p w14:paraId="57A3B844">
      <w:pPr>
        <w:pStyle w:val="4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0"/>
        <w:jc w:val="center"/>
        <w:textAlignment w:val="auto"/>
        <w:rPr>
          <w:rFonts w:hint="default" w:ascii="Times New Roman" w:hAnsi="Times New Roman" w:cs="Times New Roman"/>
        </w:rPr>
      </w:pPr>
      <m:oMath>
        <m:eqArr>
          <m:eqArrPr>
            <m:maxDist m:val="1"/>
            <m:ctrlPr>
              <w:rPr>
                <w:rFonts w:hint="default" w:ascii="Cambria Math" w:hAnsi="Cambria Math" w:cs="Times New Roman"/>
                <w:color w:val="282828"/>
                <w:sz w:val="18"/>
              </w:rPr>
            </m:ctrlPr>
          </m:eqArrPr>
          <m:e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σ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a</m:t>
                </m:r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</w:rPr>
                  <m:t>,</m:t>
                </m:r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b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=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d</m:t>
                </m:r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</w:rPr>
                  <m:t>ln</m:t>
                </m:r>
                <m:d>
                  <m:dPr>
                    <m:sepChr m:val=""/>
                    <m:ctrlPr>
                      <w:rPr>
                        <w:rFonts w:hint="default" w:ascii="Cambria Math" w:hAnsi="Cambria Math" w:cs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</w:rPr>
                          <m:t>a</m:t>
                        </m: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sub>
                    </m:sSub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cs="Times New Roman"/>
                        <w:b w:val="0"/>
                        <w:i w:val="0"/>
                      </w:rPr>
                      <m:t>/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</w:rPr>
                          <m:t>b</m:t>
                        </m: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d</m:t>
                </m:r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</w:rPr>
                  <m:t>ln</m:t>
                </m:r>
                <m:d>
                  <m:dPr>
                    <m:sepChr m:val=""/>
                    <m:ctrlPr>
                      <w:rPr>
                        <w:rFonts w:hint="default" w:ascii="Cambria Math" w:hAnsi="Cambria Math" w:cs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</w:rPr>
                          <m:t>M</m:t>
                        </m: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</w:rPr>
                          <m:t>b</m:t>
                        </m: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sub>
                    </m:sSub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cs="Times New Roman"/>
                        <w:b w:val="0"/>
                        <w:i w:val="0"/>
                      </w:rPr>
                      <m:t>/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</w:rPr>
                          <m:t>M</m:t>
                        </m: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</w:rPr>
                          <m:t>a</m:t>
                        </m: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=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iCs/>
              </w:rPr>
              <m:t>1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  <w:lang w:val="en-US" w:eastAsia="zh-CN"/>
              </w:rPr>
              <m:t>#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282828"/>
                <w:sz w:val="18"/>
              </w:rPr>
              <m:t>(</m:t>
            </m:r>
            <m:r>
              <m:rPr>
                <m:nor/>
                <m:sty m:val="p"/>
              </m:rPr>
              <w:rPr>
                <w:rFonts w:hint="default" w:ascii="Times New Roman" w:hAnsi="Times New Roman" w:eastAsia="宋体" w:cs="Times New Roman"/>
                <w:b w:val="0"/>
                <w:i w:val="0"/>
                <w:color w:val="282828"/>
                <w:sz w:val="18"/>
                <w:lang w:val="en-US" w:eastAsia="zh-CN"/>
              </w:rPr>
              <m:t>10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282828"/>
                <w:sz w:val="18"/>
              </w:rPr>
              <m:t>)</m:t>
            </m:r>
            <m:ctrlPr>
              <w:rPr>
                <w:rFonts w:hint="default" w:ascii="Cambria Math" w:hAnsi="Cambria Math" w:cs="Times New Roman"/>
                <w:color w:val="282828"/>
                <w:sz w:val="18"/>
              </w:rPr>
            </m:ctrlPr>
          </m:e>
        </m:eqArr>
      </m:oMath>
      <w:r>
        <w:rPr>
          <w:rFonts w:hint="default" w:ascii="Times New Roman" w:hAnsi="Times New Roman" w:cs="Times New Roman"/>
          <w:color w:val="282828"/>
          <w:sz w:val="18"/>
        </w:rPr>
        <w:t xml:space="preserve">   </w:t>
      </w:r>
    </w:p>
    <w:p w14:paraId="6702049E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eastAsia="宋体" w:cs="Times New Roman"/>
          <w:lang w:eastAsia="zh-CN"/>
        </w:rPr>
      </w:pPr>
      <w:r>
        <w:rPr>
          <w:rFonts w:hint="default" w:ascii="Times New Roman" w:hAnsi="Times New Roman" w:eastAsia="Noto Serif CJK SC" w:cs="Times New Roman"/>
          <w:sz w:val="21"/>
        </w:rPr>
        <w:t>因此，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σ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,</m:t>
            </m:r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 xml:space="preserve"> 为有限正数，原稿要求的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z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σ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,</m:t>
            </m:r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z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 xml:space="preserve"> 可取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z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z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1</m:t>
        </m:r>
      </m:oMath>
      <w:r>
        <w:rPr>
          <w:rFonts w:hint="default" w:ascii="Times New Roman" w:hAnsi="Times New Roman" w:eastAsia="Noto Serif CJK SC" w:cs="Times New Roman"/>
          <w:sz w:val="21"/>
        </w:rPr>
        <w:t>。</w:t>
      </w:r>
    </w:p>
    <w:p w14:paraId="69C0B91B">
      <w:pPr>
        <w:pStyle w:val="4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（7）期望性（边界保持性）。</w:t>
      </w:r>
      <w:r>
        <w:rPr>
          <w:rFonts w:hint="default" w:ascii="Times New Roman" w:hAnsi="Times New Roman" w:eastAsia="Noto Serif CJK SC" w:cs="Times New Roman"/>
          <w:sz w:val="21"/>
        </w:rPr>
        <w:t xml:space="preserve"> 整体可信度不低于所有属性值中的最小值，且不高于最大值；当全部属性值达到给定期望阈值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0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 xml:space="preserve"> 时，整体可信度亦达到该阈值。</w:t>
      </w:r>
    </w:p>
    <w:p w14:paraId="14067111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证明：</w:t>
      </w:r>
      <w:r>
        <w:rPr>
          <w:rFonts w:hint="default" w:ascii="Times New Roman" w:hAnsi="Times New Roman" w:eastAsia="Noto Serif CJK SC" w:cs="Times New Roman"/>
          <w:sz w:val="21"/>
        </w:rPr>
        <w:t xml:space="preserve"> 记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min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min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∈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P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H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>、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max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max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∈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P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H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 xml:space="preserve">。由于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ln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min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≤ln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≤ln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max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>，乘以非负权重并求和，得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ln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min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nary>
          <m:naryPr>
            <m:chr m:val="∑"/>
            <m:limLoc m:val="undOvr"/>
            <m:supHide m:val="1"/>
            <m:ctrlPr>
              <w:rPr>
                <w:rFonts w:hint="default" w:ascii="Cambria Math" w:hAnsi="Cambria Math" w:cs="Times New Roman"/>
              </w:rPr>
            </m:ctrlPr>
          </m:naryPr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∈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P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H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​</m:t>
            </m:r>
            <m:ctrlPr>
              <w:rPr>
                <w:rFonts w:hint="default" w:ascii="Cambria Math" w:hAnsi="Cambria Math" w:cs="Times New Roman"/>
              </w:rPr>
            </m:ctrlPr>
          </m:sup>
          <m:e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β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a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e>
        </m:nary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ln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=ln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T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W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H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≤ln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max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.</m:t>
        </m:r>
      </m:oMath>
    </w:p>
    <w:p w14:paraId="5EA94DDF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>指数函数严格递增，故</w:t>
      </w:r>
    </w:p>
    <w:p w14:paraId="580E48F1">
      <w:pPr>
        <w:pStyle w:val="4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0"/>
        <w:jc w:val="center"/>
        <w:textAlignment w:val="auto"/>
        <w:rPr>
          <w:rFonts w:hint="default" w:ascii="Times New Roman" w:hAnsi="Times New Roman" w:cs="Times New Roman"/>
        </w:rPr>
      </w:pPr>
      <m:oMath>
        <m:eqArr>
          <m:eqArrPr>
            <m:maxDist m:val="1"/>
            <m:ctrlPr>
              <w:rPr>
                <w:rFonts w:hint="default" w:ascii="Cambria Math" w:hAnsi="Cambria Math" w:cs="Times New Roman"/>
                <w:color w:val="282828"/>
                <w:sz w:val="18"/>
              </w:rPr>
            </m:ctrlPr>
          </m:eqArrPr>
          <m:e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</w:rPr>
                  <m:t>min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≤</m:t>
            </m:r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T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W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H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≤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</w:rPr>
                  <m:t>max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>
                <m:sty m:val="p"/>
              </m:rPr>
              <w:rPr>
                <w:rFonts w:hint="default" w:ascii="Cambria Math" w:hAnsi="Cambria Math" w:eastAsia="宋体" w:cs="Times New Roman"/>
                <w:lang w:val="en-US" w:eastAsia="zh-CN"/>
              </w:rPr>
              <m:t>#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282828"/>
                <w:sz w:val="18"/>
              </w:rPr>
              <m:t>(1</m:t>
            </m:r>
            <m:r>
              <m:rPr>
                <m:nor/>
                <m:sty m:val="p"/>
              </m:rPr>
              <w:rPr>
                <w:rFonts w:hint="default" w:ascii="Times New Roman" w:hAnsi="Times New Roman" w:eastAsia="宋体" w:cs="Times New Roman"/>
                <w:b w:val="0"/>
                <w:i w:val="0"/>
                <w:color w:val="282828"/>
                <w:sz w:val="18"/>
                <w:lang w:val="en-US" w:eastAsia="zh-CN"/>
              </w:rPr>
              <m:t>1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282828"/>
                <w:sz w:val="18"/>
              </w:rPr>
              <m:t>)</m:t>
            </m:r>
            <m:ctrlPr>
              <w:rPr>
                <w:rFonts w:hint="default" w:ascii="Cambria Math" w:hAnsi="Cambria Math" w:cs="Times New Roman"/>
                <w:color w:val="282828"/>
                <w:sz w:val="18"/>
              </w:rPr>
            </m:ctrlPr>
          </m:e>
        </m:eqArr>
      </m:oMath>
      <w:r>
        <w:rPr>
          <w:rFonts w:hint="default" w:ascii="Times New Roman" w:hAnsi="Times New Roman" w:cs="Times New Roman"/>
          <w:color w:val="282828"/>
          <w:sz w:val="18"/>
        </w:rPr>
        <w:t xml:space="preserve">    </w:t>
      </w:r>
    </w:p>
    <w:p w14:paraId="06EE1BE4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 xml:space="preserve">若对全部属性有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≥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0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 xml:space="preserve">，则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min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≥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0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>，由式（18）得</w:t>
      </w:r>
    </w:p>
    <w:p w14:paraId="3C619E24">
      <w:pPr>
        <w:pStyle w:val="4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0"/>
        <w:jc w:val="center"/>
        <w:textAlignment w:val="auto"/>
        <w:rPr>
          <w:rFonts w:hint="default" w:ascii="Times New Roman" w:hAnsi="Times New Roman" w:cs="Times New Roman"/>
        </w:rPr>
      </w:pPr>
      <m:oMath>
        <m:eqArr>
          <m:eqArrPr>
            <m:maxDist m:val="1"/>
            <m:ctrlPr>
              <w:rPr>
                <w:rFonts w:hint="default" w:ascii="Cambria Math" w:hAnsi="Cambria Math" w:cs="Times New Roman"/>
                <w:color w:val="282828"/>
                <w:sz w:val="18"/>
              </w:rPr>
            </m:ctrlPr>
          </m:eqArrPr>
          <m:e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</w:rPr>
                  <m:t>0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≤</m:t>
            </m:r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T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W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H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≤</m:t>
            </m:r>
            <m:limLow>
              <m:limLowPr>
                <m:ctrlPr>
                  <w:rPr>
                    <w:rFonts w:hint="default" w:ascii="Cambria Math" w:hAnsi="Cambria Math" w:cs="Times New Roman"/>
                  </w:rPr>
                </m:ctrlPr>
              </m:limLowPr>
              <m:e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</w:rPr>
                  <m:t>max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lim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a</m:t>
                </m:r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</w:rPr>
                  <m:t>∈</m:t>
                </m:r>
                <m:sSub>
                  <m:sSubPr>
                    <m:ctrlPr>
                      <w:rPr>
                        <w:rFonts w:hint="default" w:ascii="Cambria Math" w:hAnsi="Cambria Math" w:cs="Times New Roman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P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H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sub>
                </m:sSub>
                <m:ctrlPr>
                  <w:rPr>
                    <w:rFonts w:hint="default" w:ascii="Cambria Math" w:hAnsi="Cambria Math" w:cs="Times New Roman"/>
                  </w:rPr>
                </m:ctrlPr>
              </m:lim>
            </m:limLow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a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>
                <m:sty m:val="p"/>
              </m:rPr>
              <w:rPr>
                <w:rFonts w:hint="default" w:ascii="Cambria Math" w:hAnsi="Cambria Math" w:eastAsia="宋体" w:cs="Times New Roman"/>
                <w:lang w:val="en-US" w:eastAsia="zh-CN"/>
              </w:rPr>
              <m:t>#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282828"/>
                <w:sz w:val="18"/>
              </w:rPr>
              <m:t>(1</m:t>
            </m:r>
            <m:r>
              <m:rPr>
                <m:nor/>
                <m:sty m:val="p"/>
              </m:rPr>
              <w:rPr>
                <w:rFonts w:hint="default" w:ascii="Times New Roman" w:hAnsi="Times New Roman" w:eastAsia="宋体" w:cs="Times New Roman"/>
                <w:b w:val="0"/>
                <w:i w:val="0"/>
                <w:color w:val="282828"/>
                <w:sz w:val="18"/>
                <w:lang w:val="en-US" w:eastAsia="zh-CN"/>
              </w:rPr>
              <m:t>2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282828"/>
                <w:sz w:val="18"/>
              </w:rPr>
              <m:t>)</m:t>
            </m:r>
            <m:ctrlPr>
              <w:rPr>
                <w:rFonts w:hint="default" w:ascii="Cambria Math" w:hAnsi="Cambria Math" w:cs="Times New Roman"/>
                <w:color w:val="282828"/>
                <w:sz w:val="18"/>
              </w:rPr>
            </m:ctrlPr>
          </m:e>
        </m:eqArr>
      </m:oMath>
      <w:r>
        <w:rPr>
          <w:rFonts w:hint="default" w:ascii="Times New Roman" w:hAnsi="Times New Roman" w:cs="Times New Roman"/>
          <w:color w:val="282828"/>
          <w:sz w:val="18"/>
        </w:rPr>
        <w:t xml:space="preserve">    </w:t>
      </w:r>
    </w:p>
    <w:p w14:paraId="533D13D4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 xml:space="preserve">特别地，当所有属性均取相同值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c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 时，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T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W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H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nary>
              <m:naryPr>
                <m:chr m:val="∑"/>
                <m:limLoc m:val="undOvr"/>
                <m:supHide m:val="1"/>
                <m:ctrlPr>
                  <w:rPr>
                    <w:rFonts w:hint="default" w:ascii="Cambria Math" w:hAnsi="Cambria Math" w:cs="Times New Roman"/>
                  </w:rPr>
                </m:ctrlPr>
              </m:naryPr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a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  <m:sup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</w:rPr>
                  <m:t>​</m:t>
                </m:r>
                <m:ctrlPr>
                  <w:rPr>
                    <w:rFonts w:hint="default" w:ascii="Cambria Math" w:hAnsi="Cambria Math" w:cs="Times New Roman"/>
                  </w:rPr>
                </m:ctrlPr>
              </m:sup>
              <m:e>
                <m:sSub>
                  <m:sSubPr>
                    <m:ctrlPr>
                      <w:rPr>
                        <w:rFonts w:hint="default" w:ascii="Cambria Math" w:hAnsi="Cambria Math" w:cs="Times New Roman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β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a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sub>
                </m:sSub>
                <m:ctrlPr>
                  <w:rPr>
                    <w:rFonts w:hint="default" w:ascii="Cambria Math" w:hAnsi="Cambria Math" w:cs="Times New Roman"/>
                  </w:rPr>
                </m:ctrlPr>
              </m:e>
            </m:nary>
            <m:ctrlPr>
              <w:rPr>
                <w:rFonts w:hint="default" w:ascii="Cambria Math" w:hAnsi="Cambria Math" w:cs="Times New Roman"/>
              </w:rPr>
            </m:ctrlPr>
          </m:sup>
        </m:sSup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c</m:t>
        </m:r>
      </m:oMath>
      <w:r>
        <w:rPr>
          <w:rFonts w:hint="default" w:ascii="Times New Roman" w:hAnsi="Times New Roman" w:eastAsia="Noto Serif CJK SC" w:cs="Times New Roman"/>
          <w:sz w:val="21"/>
        </w:rPr>
        <w:t>。</w:t>
      </w:r>
    </w:p>
    <w:p w14:paraId="338096D1">
      <w:pPr>
        <w:pStyle w:val="13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0"/>
        <w:jc w:val="both"/>
        <w:textAlignment w:val="auto"/>
        <w:rPr>
          <w:rFonts w:hint="default" w:ascii="Times New Roman" w:hAnsi="Times New Roman" w:eastAsia="Noto Serif CJK SC" w:cs="Times New Roman"/>
          <w:b/>
          <w:bCs/>
          <w:sz w:val="21"/>
        </w:rPr>
      </w:pPr>
    </w:p>
    <w:p w14:paraId="2BC42E92">
      <w:pPr>
        <w:pStyle w:val="13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0"/>
        <w:jc w:val="both"/>
        <w:textAlignment w:val="auto"/>
        <w:rPr>
          <w:rFonts w:hint="default" w:ascii="Times New Roman" w:hAnsi="Times New Roman" w:cs="Times New Roman"/>
        </w:rPr>
      </w:pPr>
    </w:p>
    <w:bookmarkEnd w:id="0"/>
    <w:p w14:paraId="57400C11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/>
        <w:textAlignment w:val="auto"/>
        <w:outlineLvl w:val="1"/>
        <w:rPr>
          <w:rFonts w:hint="default" w:ascii="Times New Roman" w:hAnsi="Times New Roman" w:cs="Times New Roman"/>
          <w:lang w:val="en-US" w:eastAsia="zh-CN"/>
        </w:rPr>
      </w:pPr>
    </w:p>
    <w:sectPr>
      <w:pgSz w:w="12240" w:h="15840"/>
      <w:pgMar w:top="1440" w:right="1800" w:bottom="1440" w:left="1134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  <wne:keymap wne:kcmPrimary="034D">
      <wne:macro wne:macroName="MATHTYPECOMMANDS.UILIB.MTCOMMAND_MATHINPUTCONTROL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erif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ECC674B"/>
    <w:multiLevelType w:val="singleLevel"/>
    <w:tmpl w:val="2ECC674B"/>
    <w:lvl w:ilvl="0" w:tentative="0">
      <w:start w:val="5"/>
      <w:numFmt w:val="decimal"/>
      <w:suff w:val="nothing"/>
      <w:lvlText w:val="（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195C44"/>
    <w:rsid w:val="00231B12"/>
    <w:rsid w:val="003B2DA2"/>
    <w:rsid w:val="00561D19"/>
    <w:rsid w:val="007E4CA5"/>
    <w:rsid w:val="008A1994"/>
    <w:rsid w:val="009B7A1A"/>
    <w:rsid w:val="00B700B6"/>
    <w:rsid w:val="00F24EFE"/>
    <w:rsid w:val="01423371"/>
    <w:rsid w:val="01425A61"/>
    <w:rsid w:val="014E2B02"/>
    <w:rsid w:val="014F1945"/>
    <w:rsid w:val="014F3EB4"/>
    <w:rsid w:val="015874D7"/>
    <w:rsid w:val="01591C88"/>
    <w:rsid w:val="01B447C1"/>
    <w:rsid w:val="01DE5960"/>
    <w:rsid w:val="02723FC9"/>
    <w:rsid w:val="02A41971"/>
    <w:rsid w:val="02A67527"/>
    <w:rsid w:val="02AC65A4"/>
    <w:rsid w:val="02D2663E"/>
    <w:rsid w:val="02EE687C"/>
    <w:rsid w:val="03825B5C"/>
    <w:rsid w:val="039A1EB2"/>
    <w:rsid w:val="03C30D7F"/>
    <w:rsid w:val="040264C3"/>
    <w:rsid w:val="04167974"/>
    <w:rsid w:val="04355EAA"/>
    <w:rsid w:val="047211DF"/>
    <w:rsid w:val="048E7480"/>
    <w:rsid w:val="050F7102"/>
    <w:rsid w:val="05247C93"/>
    <w:rsid w:val="05533CBB"/>
    <w:rsid w:val="056300AB"/>
    <w:rsid w:val="056E5565"/>
    <w:rsid w:val="0585625D"/>
    <w:rsid w:val="05A831F6"/>
    <w:rsid w:val="05B1301F"/>
    <w:rsid w:val="05C15910"/>
    <w:rsid w:val="05DE7EDA"/>
    <w:rsid w:val="061F797B"/>
    <w:rsid w:val="06673FA2"/>
    <w:rsid w:val="0680759F"/>
    <w:rsid w:val="06817543"/>
    <w:rsid w:val="06A16C9A"/>
    <w:rsid w:val="06BF7066"/>
    <w:rsid w:val="06DA4CEB"/>
    <w:rsid w:val="07185C5E"/>
    <w:rsid w:val="074372BD"/>
    <w:rsid w:val="07783196"/>
    <w:rsid w:val="077F07A0"/>
    <w:rsid w:val="07C4050E"/>
    <w:rsid w:val="07F4357D"/>
    <w:rsid w:val="080412C5"/>
    <w:rsid w:val="08575C06"/>
    <w:rsid w:val="08661AAC"/>
    <w:rsid w:val="08A13F4A"/>
    <w:rsid w:val="08BA28B5"/>
    <w:rsid w:val="08D63F5E"/>
    <w:rsid w:val="08DF5C62"/>
    <w:rsid w:val="0946657C"/>
    <w:rsid w:val="094D24BB"/>
    <w:rsid w:val="094F25D6"/>
    <w:rsid w:val="09851352"/>
    <w:rsid w:val="09952366"/>
    <w:rsid w:val="09BC1C99"/>
    <w:rsid w:val="09E9456C"/>
    <w:rsid w:val="0A0A01C1"/>
    <w:rsid w:val="0A29210D"/>
    <w:rsid w:val="0A5B1F34"/>
    <w:rsid w:val="0A6144FC"/>
    <w:rsid w:val="0A870131"/>
    <w:rsid w:val="0AAD7CE5"/>
    <w:rsid w:val="0B325009"/>
    <w:rsid w:val="0B3C7568"/>
    <w:rsid w:val="0B591741"/>
    <w:rsid w:val="0B737D8B"/>
    <w:rsid w:val="0B834AF2"/>
    <w:rsid w:val="0BAC4AF1"/>
    <w:rsid w:val="0BF01C0B"/>
    <w:rsid w:val="0C144EFA"/>
    <w:rsid w:val="0C474D27"/>
    <w:rsid w:val="0C520C35"/>
    <w:rsid w:val="0C5553A9"/>
    <w:rsid w:val="0C79629F"/>
    <w:rsid w:val="0C7B310F"/>
    <w:rsid w:val="0CAD5685"/>
    <w:rsid w:val="0CB31CEF"/>
    <w:rsid w:val="0CD92FBD"/>
    <w:rsid w:val="0CE32A08"/>
    <w:rsid w:val="0CF66CA1"/>
    <w:rsid w:val="0D250602"/>
    <w:rsid w:val="0D4F71B0"/>
    <w:rsid w:val="0D5B73AE"/>
    <w:rsid w:val="0D7E4DB9"/>
    <w:rsid w:val="0D9E1FD7"/>
    <w:rsid w:val="0DA27AF9"/>
    <w:rsid w:val="0DAD4E1B"/>
    <w:rsid w:val="0DE046A8"/>
    <w:rsid w:val="0DF24B5B"/>
    <w:rsid w:val="0E324FED"/>
    <w:rsid w:val="0E330D43"/>
    <w:rsid w:val="0E495F83"/>
    <w:rsid w:val="0E4E0129"/>
    <w:rsid w:val="0EA7303D"/>
    <w:rsid w:val="0EC31E00"/>
    <w:rsid w:val="0ED40CCB"/>
    <w:rsid w:val="0EDB3719"/>
    <w:rsid w:val="0EFC606D"/>
    <w:rsid w:val="0EFD75BB"/>
    <w:rsid w:val="0F0D5446"/>
    <w:rsid w:val="0F2F6E5A"/>
    <w:rsid w:val="0F5D2ECD"/>
    <w:rsid w:val="0F6F6114"/>
    <w:rsid w:val="0F983C47"/>
    <w:rsid w:val="0FE95EB3"/>
    <w:rsid w:val="0FEE3559"/>
    <w:rsid w:val="0FEF55BB"/>
    <w:rsid w:val="0FF61336"/>
    <w:rsid w:val="0FFD2E13"/>
    <w:rsid w:val="10650051"/>
    <w:rsid w:val="106A3F69"/>
    <w:rsid w:val="108D64A0"/>
    <w:rsid w:val="10A15426"/>
    <w:rsid w:val="10B15D96"/>
    <w:rsid w:val="10D850B9"/>
    <w:rsid w:val="10F96707"/>
    <w:rsid w:val="110463C5"/>
    <w:rsid w:val="110845D4"/>
    <w:rsid w:val="11461C0C"/>
    <w:rsid w:val="1185517F"/>
    <w:rsid w:val="11AE081B"/>
    <w:rsid w:val="11B36B21"/>
    <w:rsid w:val="11B5429E"/>
    <w:rsid w:val="11D11CA6"/>
    <w:rsid w:val="120A7D88"/>
    <w:rsid w:val="122C1A95"/>
    <w:rsid w:val="125E4E76"/>
    <w:rsid w:val="126143C9"/>
    <w:rsid w:val="1264442C"/>
    <w:rsid w:val="129E6855"/>
    <w:rsid w:val="12CC71BA"/>
    <w:rsid w:val="130715F5"/>
    <w:rsid w:val="131569DB"/>
    <w:rsid w:val="13633642"/>
    <w:rsid w:val="13845ED4"/>
    <w:rsid w:val="138B6490"/>
    <w:rsid w:val="13932CDA"/>
    <w:rsid w:val="13B0085C"/>
    <w:rsid w:val="13F325E0"/>
    <w:rsid w:val="14076FEE"/>
    <w:rsid w:val="147A7D1C"/>
    <w:rsid w:val="148C60FF"/>
    <w:rsid w:val="14C96B87"/>
    <w:rsid w:val="14D05E76"/>
    <w:rsid w:val="152F63E2"/>
    <w:rsid w:val="15364487"/>
    <w:rsid w:val="15520505"/>
    <w:rsid w:val="15640CAA"/>
    <w:rsid w:val="15641B73"/>
    <w:rsid w:val="15696D3E"/>
    <w:rsid w:val="15EE719E"/>
    <w:rsid w:val="15F06B1E"/>
    <w:rsid w:val="16154482"/>
    <w:rsid w:val="16336064"/>
    <w:rsid w:val="163544B4"/>
    <w:rsid w:val="164516C4"/>
    <w:rsid w:val="165D7780"/>
    <w:rsid w:val="172156E0"/>
    <w:rsid w:val="173D5A6F"/>
    <w:rsid w:val="174B0666"/>
    <w:rsid w:val="174D064A"/>
    <w:rsid w:val="17597B33"/>
    <w:rsid w:val="175A2808"/>
    <w:rsid w:val="175B04BC"/>
    <w:rsid w:val="177C259B"/>
    <w:rsid w:val="177E005E"/>
    <w:rsid w:val="17AE1C31"/>
    <w:rsid w:val="17AE1DDB"/>
    <w:rsid w:val="17B90C6E"/>
    <w:rsid w:val="17DB6D9E"/>
    <w:rsid w:val="17E53DE8"/>
    <w:rsid w:val="17E72CD8"/>
    <w:rsid w:val="17F72AB1"/>
    <w:rsid w:val="1807571C"/>
    <w:rsid w:val="181A4649"/>
    <w:rsid w:val="181B1272"/>
    <w:rsid w:val="18311D4F"/>
    <w:rsid w:val="183F7A25"/>
    <w:rsid w:val="18464EC1"/>
    <w:rsid w:val="18511519"/>
    <w:rsid w:val="187433A6"/>
    <w:rsid w:val="18937DCB"/>
    <w:rsid w:val="18AB36CD"/>
    <w:rsid w:val="18C62B7A"/>
    <w:rsid w:val="18CB7A60"/>
    <w:rsid w:val="1901215A"/>
    <w:rsid w:val="1901532C"/>
    <w:rsid w:val="19176BAB"/>
    <w:rsid w:val="193364B1"/>
    <w:rsid w:val="194C77DF"/>
    <w:rsid w:val="19520625"/>
    <w:rsid w:val="195A665C"/>
    <w:rsid w:val="19783BC4"/>
    <w:rsid w:val="19DE575C"/>
    <w:rsid w:val="19ED1A62"/>
    <w:rsid w:val="1A1133E0"/>
    <w:rsid w:val="1A240493"/>
    <w:rsid w:val="1A270BAA"/>
    <w:rsid w:val="1A4408B5"/>
    <w:rsid w:val="1A6D6992"/>
    <w:rsid w:val="1A7252D5"/>
    <w:rsid w:val="1A823472"/>
    <w:rsid w:val="1A865379"/>
    <w:rsid w:val="1A9B02D8"/>
    <w:rsid w:val="1AB132FA"/>
    <w:rsid w:val="1AC96DD1"/>
    <w:rsid w:val="1B001BB9"/>
    <w:rsid w:val="1B7146CC"/>
    <w:rsid w:val="1BA91AC0"/>
    <w:rsid w:val="1BB62CB2"/>
    <w:rsid w:val="1BFC0C03"/>
    <w:rsid w:val="1C1D3897"/>
    <w:rsid w:val="1C33298F"/>
    <w:rsid w:val="1C3E3803"/>
    <w:rsid w:val="1C5A7071"/>
    <w:rsid w:val="1C6805E0"/>
    <w:rsid w:val="1C744EE3"/>
    <w:rsid w:val="1CEA078F"/>
    <w:rsid w:val="1D10690A"/>
    <w:rsid w:val="1D54668F"/>
    <w:rsid w:val="1D8F54DB"/>
    <w:rsid w:val="1DDE10E7"/>
    <w:rsid w:val="1DF50D62"/>
    <w:rsid w:val="1E022476"/>
    <w:rsid w:val="1E2A22F5"/>
    <w:rsid w:val="1E306F94"/>
    <w:rsid w:val="1E9B0CC0"/>
    <w:rsid w:val="1E9D2DB2"/>
    <w:rsid w:val="1EB24DF9"/>
    <w:rsid w:val="1ECE02DC"/>
    <w:rsid w:val="1F02503B"/>
    <w:rsid w:val="1F0405EB"/>
    <w:rsid w:val="1F180D01"/>
    <w:rsid w:val="1F5E58B3"/>
    <w:rsid w:val="1F970545"/>
    <w:rsid w:val="1FC72597"/>
    <w:rsid w:val="1FEB34B8"/>
    <w:rsid w:val="1FEB74CB"/>
    <w:rsid w:val="1FED71D4"/>
    <w:rsid w:val="204C2E26"/>
    <w:rsid w:val="2054782F"/>
    <w:rsid w:val="205A15E4"/>
    <w:rsid w:val="205C77B7"/>
    <w:rsid w:val="20AA40FF"/>
    <w:rsid w:val="20C271DD"/>
    <w:rsid w:val="20EB178E"/>
    <w:rsid w:val="20F3320D"/>
    <w:rsid w:val="2115669B"/>
    <w:rsid w:val="21283B87"/>
    <w:rsid w:val="21661560"/>
    <w:rsid w:val="219B3FE5"/>
    <w:rsid w:val="21BF392C"/>
    <w:rsid w:val="225F2E6E"/>
    <w:rsid w:val="2281795B"/>
    <w:rsid w:val="229F2233"/>
    <w:rsid w:val="22CA0C44"/>
    <w:rsid w:val="2322375E"/>
    <w:rsid w:val="233C2A38"/>
    <w:rsid w:val="234A7C35"/>
    <w:rsid w:val="235E7BBF"/>
    <w:rsid w:val="23673F88"/>
    <w:rsid w:val="236D6140"/>
    <w:rsid w:val="237B7C13"/>
    <w:rsid w:val="23894D4F"/>
    <w:rsid w:val="23E974EA"/>
    <w:rsid w:val="23F13529"/>
    <w:rsid w:val="23F5161E"/>
    <w:rsid w:val="2459385E"/>
    <w:rsid w:val="24871537"/>
    <w:rsid w:val="24994137"/>
    <w:rsid w:val="24EC7DBE"/>
    <w:rsid w:val="24F83057"/>
    <w:rsid w:val="251A0287"/>
    <w:rsid w:val="25214B27"/>
    <w:rsid w:val="254568A8"/>
    <w:rsid w:val="256640D0"/>
    <w:rsid w:val="257A6194"/>
    <w:rsid w:val="259D5768"/>
    <w:rsid w:val="25B435CC"/>
    <w:rsid w:val="25B71870"/>
    <w:rsid w:val="25C35519"/>
    <w:rsid w:val="25F80363"/>
    <w:rsid w:val="26090F81"/>
    <w:rsid w:val="26314F94"/>
    <w:rsid w:val="263C00F5"/>
    <w:rsid w:val="26585601"/>
    <w:rsid w:val="267D166E"/>
    <w:rsid w:val="26881A92"/>
    <w:rsid w:val="27031739"/>
    <w:rsid w:val="27096F3D"/>
    <w:rsid w:val="27244C60"/>
    <w:rsid w:val="273358B5"/>
    <w:rsid w:val="27923180"/>
    <w:rsid w:val="27C855D3"/>
    <w:rsid w:val="27D50848"/>
    <w:rsid w:val="27DB3CDE"/>
    <w:rsid w:val="282114A6"/>
    <w:rsid w:val="28340559"/>
    <w:rsid w:val="286D547B"/>
    <w:rsid w:val="287040F2"/>
    <w:rsid w:val="28D53FD8"/>
    <w:rsid w:val="28F1507B"/>
    <w:rsid w:val="290E772E"/>
    <w:rsid w:val="29341836"/>
    <w:rsid w:val="293E4722"/>
    <w:rsid w:val="29554567"/>
    <w:rsid w:val="298A49F2"/>
    <w:rsid w:val="29A02906"/>
    <w:rsid w:val="29A21593"/>
    <w:rsid w:val="29A22B00"/>
    <w:rsid w:val="2A220169"/>
    <w:rsid w:val="2A504E36"/>
    <w:rsid w:val="2A554D4F"/>
    <w:rsid w:val="2A7F1496"/>
    <w:rsid w:val="2ABA00F2"/>
    <w:rsid w:val="2ABC6011"/>
    <w:rsid w:val="2ADD0C1B"/>
    <w:rsid w:val="2B002814"/>
    <w:rsid w:val="2B2A5452"/>
    <w:rsid w:val="2B465B0F"/>
    <w:rsid w:val="2B4A701F"/>
    <w:rsid w:val="2B6002E2"/>
    <w:rsid w:val="2BA04F8F"/>
    <w:rsid w:val="2BFE56BD"/>
    <w:rsid w:val="2C705079"/>
    <w:rsid w:val="2C7066A0"/>
    <w:rsid w:val="2CA23BCA"/>
    <w:rsid w:val="2CA25C19"/>
    <w:rsid w:val="2CA72CD8"/>
    <w:rsid w:val="2CAF573E"/>
    <w:rsid w:val="2CEE384C"/>
    <w:rsid w:val="2CF22721"/>
    <w:rsid w:val="2D361E30"/>
    <w:rsid w:val="2D6C5F7D"/>
    <w:rsid w:val="2D931FC0"/>
    <w:rsid w:val="2DA159E6"/>
    <w:rsid w:val="2DAA3648"/>
    <w:rsid w:val="2DDA0D7B"/>
    <w:rsid w:val="2E1B4E93"/>
    <w:rsid w:val="2E301245"/>
    <w:rsid w:val="2E4D75EA"/>
    <w:rsid w:val="2E607CAC"/>
    <w:rsid w:val="2E716E00"/>
    <w:rsid w:val="2E87157E"/>
    <w:rsid w:val="2EC175B4"/>
    <w:rsid w:val="2ECA7599"/>
    <w:rsid w:val="2EEB0C8F"/>
    <w:rsid w:val="2EFB2FCB"/>
    <w:rsid w:val="2EFB65CC"/>
    <w:rsid w:val="2F256C93"/>
    <w:rsid w:val="2F4B357D"/>
    <w:rsid w:val="2F5C6969"/>
    <w:rsid w:val="2F5F1E05"/>
    <w:rsid w:val="2F7566F7"/>
    <w:rsid w:val="2FAA687A"/>
    <w:rsid w:val="30232D88"/>
    <w:rsid w:val="302630CF"/>
    <w:rsid w:val="303F2258"/>
    <w:rsid w:val="308F2D23"/>
    <w:rsid w:val="3096622A"/>
    <w:rsid w:val="30D82BE1"/>
    <w:rsid w:val="30DC4F4C"/>
    <w:rsid w:val="30E06987"/>
    <w:rsid w:val="314A554A"/>
    <w:rsid w:val="3150441C"/>
    <w:rsid w:val="319977DA"/>
    <w:rsid w:val="31C62AF1"/>
    <w:rsid w:val="31D67B1F"/>
    <w:rsid w:val="31DA0886"/>
    <w:rsid w:val="32024E86"/>
    <w:rsid w:val="3229027F"/>
    <w:rsid w:val="3229115E"/>
    <w:rsid w:val="32356563"/>
    <w:rsid w:val="323D78AD"/>
    <w:rsid w:val="327F686F"/>
    <w:rsid w:val="328C06D1"/>
    <w:rsid w:val="32AD7029"/>
    <w:rsid w:val="32B739DE"/>
    <w:rsid w:val="331C69EE"/>
    <w:rsid w:val="332F27B3"/>
    <w:rsid w:val="33A809BB"/>
    <w:rsid w:val="33AB0920"/>
    <w:rsid w:val="33EC0CF4"/>
    <w:rsid w:val="34185C6A"/>
    <w:rsid w:val="34371075"/>
    <w:rsid w:val="34537634"/>
    <w:rsid w:val="34586AC3"/>
    <w:rsid w:val="346D04A6"/>
    <w:rsid w:val="348F3CC4"/>
    <w:rsid w:val="34BC0FAA"/>
    <w:rsid w:val="34DB376C"/>
    <w:rsid w:val="34E36C65"/>
    <w:rsid w:val="359613EA"/>
    <w:rsid w:val="359C6F6F"/>
    <w:rsid w:val="35FE3D88"/>
    <w:rsid w:val="3617697B"/>
    <w:rsid w:val="363323F5"/>
    <w:rsid w:val="363608AA"/>
    <w:rsid w:val="363B3D03"/>
    <w:rsid w:val="3684307D"/>
    <w:rsid w:val="36996B07"/>
    <w:rsid w:val="36B52361"/>
    <w:rsid w:val="36CA40C7"/>
    <w:rsid w:val="36CE3313"/>
    <w:rsid w:val="36EC0A2B"/>
    <w:rsid w:val="373868C8"/>
    <w:rsid w:val="373D4C4C"/>
    <w:rsid w:val="37412DE9"/>
    <w:rsid w:val="37AF2CE2"/>
    <w:rsid w:val="37DF46E6"/>
    <w:rsid w:val="37E441A8"/>
    <w:rsid w:val="37E71638"/>
    <w:rsid w:val="37F62D05"/>
    <w:rsid w:val="37FE3C1C"/>
    <w:rsid w:val="381643AB"/>
    <w:rsid w:val="38227065"/>
    <w:rsid w:val="385E26EA"/>
    <w:rsid w:val="38671BF8"/>
    <w:rsid w:val="38A35E09"/>
    <w:rsid w:val="38A602BC"/>
    <w:rsid w:val="38BB184F"/>
    <w:rsid w:val="38C81CFF"/>
    <w:rsid w:val="38C8656B"/>
    <w:rsid w:val="39025620"/>
    <w:rsid w:val="39233D2C"/>
    <w:rsid w:val="399A1EE0"/>
    <w:rsid w:val="39A72EC5"/>
    <w:rsid w:val="39A91C31"/>
    <w:rsid w:val="39BD78E5"/>
    <w:rsid w:val="39CA7F45"/>
    <w:rsid w:val="39D656A9"/>
    <w:rsid w:val="39EA7CA2"/>
    <w:rsid w:val="39F01E08"/>
    <w:rsid w:val="3A286BB1"/>
    <w:rsid w:val="3A8D2D9B"/>
    <w:rsid w:val="3A9E396B"/>
    <w:rsid w:val="3AF045A5"/>
    <w:rsid w:val="3B030F9D"/>
    <w:rsid w:val="3B0543B6"/>
    <w:rsid w:val="3B1E6086"/>
    <w:rsid w:val="3B2531CA"/>
    <w:rsid w:val="3B291936"/>
    <w:rsid w:val="3B614D09"/>
    <w:rsid w:val="3B956404"/>
    <w:rsid w:val="3BFE23A0"/>
    <w:rsid w:val="3C181605"/>
    <w:rsid w:val="3C20642F"/>
    <w:rsid w:val="3C2103CA"/>
    <w:rsid w:val="3C3139FF"/>
    <w:rsid w:val="3C3167A8"/>
    <w:rsid w:val="3C4A5C71"/>
    <w:rsid w:val="3C7D1323"/>
    <w:rsid w:val="3C9A2EF2"/>
    <w:rsid w:val="3CAE3758"/>
    <w:rsid w:val="3CF6479A"/>
    <w:rsid w:val="3CF7129D"/>
    <w:rsid w:val="3D0641F3"/>
    <w:rsid w:val="3D253D1E"/>
    <w:rsid w:val="3D6E5CC0"/>
    <w:rsid w:val="3D9A2085"/>
    <w:rsid w:val="3DA93D8D"/>
    <w:rsid w:val="3DF5699B"/>
    <w:rsid w:val="3E184036"/>
    <w:rsid w:val="3E22474C"/>
    <w:rsid w:val="3E4A464A"/>
    <w:rsid w:val="3E7836D5"/>
    <w:rsid w:val="3E905650"/>
    <w:rsid w:val="3EBE63DD"/>
    <w:rsid w:val="3EC3599D"/>
    <w:rsid w:val="3EC71097"/>
    <w:rsid w:val="3EF208CD"/>
    <w:rsid w:val="3EFA4449"/>
    <w:rsid w:val="3F2C0B7F"/>
    <w:rsid w:val="3F473ED8"/>
    <w:rsid w:val="3FA27C49"/>
    <w:rsid w:val="3FC73FAC"/>
    <w:rsid w:val="3FE74DD4"/>
    <w:rsid w:val="400A60DF"/>
    <w:rsid w:val="401D6F8B"/>
    <w:rsid w:val="40205B08"/>
    <w:rsid w:val="40590C4C"/>
    <w:rsid w:val="40825265"/>
    <w:rsid w:val="40A37834"/>
    <w:rsid w:val="40A42422"/>
    <w:rsid w:val="40A5631F"/>
    <w:rsid w:val="40D84AFB"/>
    <w:rsid w:val="40F4278B"/>
    <w:rsid w:val="41133180"/>
    <w:rsid w:val="41235825"/>
    <w:rsid w:val="41287B9A"/>
    <w:rsid w:val="417661AF"/>
    <w:rsid w:val="419D361C"/>
    <w:rsid w:val="41AA2E44"/>
    <w:rsid w:val="41AF2F7A"/>
    <w:rsid w:val="41DA4D70"/>
    <w:rsid w:val="41DE0B52"/>
    <w:rsid w:val="4229045D"/>
    <w:rsid w:val="424979B3"/>
    <w:rsid w:val="42656E2C"/>
    <w:rsid w:val="42683FDA"/>
    <w:rsid w:val="42723EAA"/>
    <w:rsid w:val="42E75D78"/>
    <w:rsid w:val="43074F94"/>
    <w:rsid w:val="431748BD"/>
    <w:rsid w:val="431F7DE0"/>
    <w:rsid w:val="432976B5"/>
    <w:rsid w:val="43734889"/>
    <w:rsid w:val="43841E20"/>
    <w:rsid w:val="438A0A5C"/>
    <w:rsid w:val="43B206D7"/>
    <w:rsid w:val="43B9111D"/>
    <w:rsid w:val="44314F53"/>
    <w:rsid w:val="444F3238"/>
    <w:rsid w:val="44905925"/>
    <w:rsid w:val="44B5410F"/>
    <w:rsid w:val="44BD24D5"/>
    <w:rsid w:val="44D46143"/>
    <w:rsid w:val="44DB05E6"/>
    <w:rsid w:val="451158E5"/>
    <w:rsid w:val="451B2D48"/>
    <w:rsid w:val="45226E14"/>
    <w:rsid w:val="45317630"/>
    <w:rsid w:val="454B3FF6"/>
    <w:rsid w:val="459D785F"/>
    <w:rsid w:val="45AE74C0"/>
    <w:rsid w:val="45F5197E"/>
    <w:rsid w:val="461E372E"/>
    <w:rsid w:val="4626013B"/>
    <w:rsid w:val="462F4A3C"/>
    <w:rsid w:val="464F511D"/>
    <w:rsid w:val="469F168C"/>
    <w:rsid w:val="46AA174E"/>
    <w:rsid w:val="46AD0C86"/>
    <w:rsid w:val="46E2773C"/>
    <w:rsid w:val="46FC37FA"/>
    <w:rsid w:val="47051B3D"/>
    <w:rsid w:val="47431D2E"/>
    <w:rsid w:val="47745A86"/>
    <w:rsid w:val="47831D58"/>
    <w:rsid w:val="479B51BE"/>
    <w:rsid w:val="479F79CF"/>
    <w:rsid w:val="47B81375"/>
    <w:rsid w:val="47DF4828"/>
    <w:rsid w:val="47F724CF"/>
    <w:rsid w:val="480745EA"/>
    <w:rsid w:val="48271508"/>
    <w:rsid w:val="48585EC7"/>
    <w:rsid w:val="485E3773"/>
    <w:rsid w:val="48BA4A06"/>
    <w:rsid w:val="48E34DEA"/>
    <w:rsid w:val="48ED3BE2"/>
    <w:rsid w:val="48EF2C80"/>
    <w:rsid w:val="492D778E"/>
    <w:rsid w:val="49792844"/>
    <w:rsid w:val="498D48D8"/>
    <w:rsid w:val="49B4514E"/>
    <w:rsid w:val="49BC5DEA"/>
    <w:rsid w:val="49CD0115"/>
    <w:rsid w:val="49DC4C8A"/>
    <w:rsid w:val="49E43FAC"/>
    <w:rsid w:val="4A16137A"/>
    <w:rsid w:val="4A163167"/>
    <w:rsid w:val="4A1857C7"/>
    <w:rsid w:val="4A1E47A6"/>
    <w:rsid w:val="4A5E560B"/>
    <w:rsid w:val="4A807649"/>
    <w:rsid w:val="4A9B0B8B"/>
    <w:rsid w:val="4A9F72BE"/>
    <w:rsid w:val="4AAA61F4"/>
    <w:rsid w:val="4ABF5428"/>
    <w:rsid w:val="4AE924D0"/>
    <w:rsid w:val="4B0F3F03"/>
    <w:rsid w:val="4B392ADA"/>
    <w:rsid w:val="4B543B68"/>
    <w:rsid w:val="4BE551DB"/>
    <w:rsid w:val="4BFC24EE"/>
    <w:rsid w:val="4C082C41"/>
    <w:rsid w:val="4C0868D6"/>
    <w:rsid w:val="4C455D4F"/>
    <w:rsid w:val="4C465518"/>
    <w:rsid w:val="4C8F53D0"/>
    <w:rsid w:val="4C9D4543"/>
    <w:rsid w:val="4CF1292E"/>
    <w:rsid w:val="4D6A6FE5"/>
    <w:rsid w:val="4D7D6926"/>
    <w:rsid w:val="4D8174FB"/>
    <w:rsid w:val="4E5C47EC"/>
    <w:rsid w:val="4EAA5329"/>
    <w:rsid w:val="4EBD7F0B"/>
    <w:rsid w:val="4EC81514"/>
    <w:rsid w:val="4EFD3BFE"/>
    <w:rsid w:val="4F0B374A"/>
    <w:rsid w:val="4F132893"/>
    <w:rsid w:val="4F263AAC"/>
    <w:rsid w:val="4F5907A7"/>
    <w:rsid w:val="4F6D23A4"/>
    <w:rsid w:val="4FA91400"/>
    <w:rsid w:val="4FDC0C46"/>
    <w:rsid w:val="4FE86AF5"/>
    <w:rsid w:val="500C5B70"/>
    <w:rsid w:val="5038468C"/>
    <w:rsid w:val="50862B98"/>
    <w:rsid w:val="5095021F"/>
    <w:rsid w:val="509F412D"/>
    <w:rsid w:val="50B60102"/>
    <w:rsid w:val="50CB24A8"/>
    <w:rsid w:val="50D3084C"/>
    <w:rsid w:val="5105156B"/>
    <w:rsid w:val="5121345C"/>
    <w:rsid w:val="51400845"/>
    <w:rsid w:val="514F611A"/>
    <w:rsid w:val="51B34D01"/>
    <w:rsid w:val="51BF2818"/>
    <w:rsid w:val="51D850AE"/>
    <w:rsid w:val="52077376"/>
    <w:rsid w:val="522324BB"/>
    <w:rsid w:val="5244129E"/>
    <w:rsid w:val="5271674C"/>
    <w:rsid w:val="529B2676"/>
    <w:rsid w:val="52A50717"/>
    <w:rsid w:val="52D0558F"/>
    <w:rsid w:val="52DE26D4"/>
    <w:rsid w:val="52E90C98"/>
    <w:rsid w:val="52EA4028"/>
    <w:rsid w:val="52F13B3E"/>
    <w:rsid w:val="52F82DE3"/>
    <w:rsid w:val="530B4DDD"/>
    <w:rsid w:val="530E17B5"/>
    <w:rsid w:val="530F48B5"/>
    <w:rsid w:val="53186CB2"/>
    <w:rsid w:val="53394028"/>
    <w:rsid w:val="53652D09"/>
    <w:rsid w:val="53937294"/>
    <w:rsid w:val="53A663DB"/>
    <w:rsid w:val="53C37E08"/>
    <w:rsid w:val="53D87E62"/>
    <w:rsid w:val="53EA420E"/>
    <w:rsid w:val="544A4A58"/>
    <w:rsid w:val="54514DC5"/>
    <w:rsid w:val="54630624"/>
    <w:rsid w:val="54877B54"/>
    <w:rsid w:val="549C576C"/>
    <w:rsid w:val="54A51512"/>
    <w:rsid w:val="54BD369B"/>
    <w:rsid w:val="54C32806"/>
    <w:rsid w:val="54F71AA5"/>
    <w:rsid w:val="552402A2"/>
    <w:rsid w:val="553E068E"/>
    <w:rsid w:val="555B1DDC"/>
    <w:rsid w:val="557D12D8"/>
    <w:rsid w:val="55CE28F8"/>
    <w:rsid w:val="55E112E7"/>
    <w:rsid w:val="55E635C8"/>
    <w:rsid w:val="55F45B80"/>
    <w:rsid w:val="564F1CC5"/>
    <w:rsid w:val="566F69FA"/>
    <w:rsid w:val="568413B4"/>
    <w:rsid w:val="568C3447"/>
    <w:rsid w:val="569C4634"/>
    <w:rsid w:val="56A119E7"/>
    <w:rsid w:val="56B60A6E"/>
    <w:rsid w:val="56C4225C"/>
    <w:rsid w:val="56CE37F3"/>
    <w:rsid w:val="56D504FC"/>
    <w:rsid w:val="56E61018"/>
    <w:rsid w:val="56E74807"/>
    <w:rsid w:val="56F53D8A"/>
    <w:rsid w:val="57355A33"/>
    <w:rsid w:val="578002B7"/>
    <w:rsid w:val="578B1008"/>
    <w:rsid w:val="57B568F3"/>
    <w:rsid w:val="57CB1486"/>
    <w:rsid w:val="57D85BBE"/>
    <w:rsid w:val="57E04651"/>
    <w:rsid w:val="57F34F37"/>
    <w:rsid w:val="583D515B"/>
    <w:rsid w:val="587A55A9"/>
    <w:rsid w:val="588E5937"/>
    <w:rsid w:val="58A00778"/>
    <w:rsid w:val="58F44792"/>
    <w:rsid w:val="593F00A5"/>
    <w:rsid w:val="59600D0B"/>
    <w:rsid w:val="5974619C"/>
    <w:rsid w:val="59B5180E"/>
    <w:rsid w:val="59CD4F80"/>
    <w:rsid w:val="5A421724"/>
    <w:rsid w:val="5A437E53"/>
    <w:rsid w:val="5A4968FF"/>
    <w:rsid w:val="5A67606C"/>
    <w:rsid w:val="5A7013AB"/>
    <w:rsid w:val="5A9C75F4"/>
    <w:rsid w:val="5AA20705"/>
    <w:rsid w:val="5AB007CB"/>
    <w:rsid w:val="5AF72F69"/>
    <w:rsid w:val="5B087926"/>
    <w:rsid w:val="5B377664"/>
    <w:rsid w:val="5B5153BA"/>
    <w:rsid w:val="5B63561B"/>
    <w:rsid w:val="5B6D0B16"/>
    <w:rsid w:val="5B886606"/>
    <w:rsid w:val="5BA57794"/>
    <w:rsid w:val="5BBF093A"/>
    <w:rsid w:val="5BE21270"/>
    <w:rsid w:val="5BF22894"/>
    <w:rsid w:val="5C177711"/>
    <w:rsid w:val="5C684056"/>
    <w:rsid w:val="5C753960"/>
    <w:rsid w:val="5C9418A6"/>
    <w:rsid w:val="5CA17F9B"/>
    <w:rsid w:val="5D3E6052"/>
    <w:rsid w:val="5D5A1089"/>
    <w:rsid w:val="5D6F2EB3"/>
    <w:rsid w:val="5D706F24"/>
    <w:rsid w:val="5DB21A05"/>
    <w:rsid w:val="5DE828D3"/>
    <w:rsid w:val="5E0A246F"/>
    <w:rsid w:val="5E0E2D1D"/>
    <w:rsid w:val="5E27545A"/>
    <w:rsid w:val="5ED85C93"/>
    <w:rsid w:val="5F0219D5"/>
    <w:rsid w:val="5F110B70"/>
    <w:rsid w:val="5F43626B"/>
    <w:rsid w:val="5FE6790C"/>
    <w:rsid w:val="6029383E"/>
    <w:rsid w:val="603D16F8"/>
    <w:rsid w:val="603F641A"/>
    <w:rsid w:val="604D19D1"/>
    <w:rsid w:val="60747F1B"/>
    <w:rsid w:val="609C2D4E"/>
    <w:rsid w:val="609C51C2"/>
    <w:rsid w:val="60DA097C"/>
    <w:rsid w:val="612F56B4"/>
    <w:rsid w:val="6160716E"/>
    <w:rsid w:val="6186244F"/>
    <w:rsid w:val="61A402D0"/>
    <w:rsid w:val="61D457C6"/>
    <w:rsid w:val="62037F85"/>
    <w:rsid w:val="621F0BC7"/>
    <w:rsid w:val="622A6C72"/>
    <w:rsid w:val="6263278A"/>
    <w:rsid w:val="62712181"/>
    <w:rsid w:val="627F1817"/>
    <w:rsid w:val="63116428"/>
    <w:rsid w:val="63212B0F"/>
    <w:rsid w:val="63306326"/>
    <w:rsid w:val="63383B32"/>
    <w:rsid w:val="633B5F4C"/>
    <w:rsid w:val="63427C98"/>
    <w:rsid w:val="63773F84"/>
    <w:rsid w:val="638B1200"/>
    <w:rsid w:val="63BD33AF"/>
    <w:rsid w:val="63C565DC"/>
    <w:rsid w:val="63F071FE"/>
    <w:rsid w:val="64251D8C"/>
    <w:rsid w:val="64272D12"/>
    <w:rsid w:val="642A0419"/>
    <w:rsid w:val="64962E23"/>
    <w:rsid w:val="64A907A2"/>
    <w:rsid w:val="64AA2CE5"/>
    <w:rsid w:val="64E215AA"/>
    <w:rsid w:val="65035C73"/>
    <w:rsid w:val="652C6837"/>
    <w:rsid w:val="653345FA"/>
    <w:rsid w:val="656A4212"/>
    <w:rsid w:val="65EB47EB"/>
    <w:rsid w:val="66422BD5"/>
    <w:rsid w:val="6651660F"/>
    <w:rsid w:val="66BB3922"/>
    <w:rsid w:val="66DE5D69"/>
    <w:rsid w:val="66EA1D40"/>
    <w:rsid w:val="66FF06EB"/>
    <w:rsid w:val="67264099"/>
    <w:rsid w:val="67265E46"/>
    <w:rsid w:val="67D003C5"/>
    <w:rsid w:val="681702C7"/>
    <w:rsid w:val="686764A5"/>
    <w:rsid w:val="68695492"/>
    <w:rsid w:val="68C25CBE"/>
    <w:rsid w:val="68D93544"/>
    <w:rsid w:val="69013A76"/>
    <w:rsid w:val="69031A3A"/>
    <w:rsid w:val="69446F6F"/>
    <w:rsid w:val="694F7CAA"/>
    <w:rsid w:val="69545695"/>
    <w:rsid w:val="695C260C"/>
    <w:rsid w:val="69682191"/>
    <w:rsid w:val="69AB7855"/>
    <w:rsid w:val="6A2035A3"/>
    <w:rsid w:val="6A675A37"/>
    <w:rsid w:val="6A8C3F8D"/>
    <w:rsid w:val="6A9863D5"/>
    <w:rsid w:val="6AA41B3A"/>
    <w:rsid w:val="6AAE5176"/>
    <w:rsid w:val="6AC80B7F"/>
    <w:rsid w:val="6ADE29E9"/>
    <w:rsid w:val="6B272443"/>
    <w:rsid w:val="6BAC0D7F"/>
    <w:rsid w:val="6BBC03F3"/>
    <w:rsid w:val="6BD417B1"/>
    <w:rsid w:val="6BF915E4"/>
    <w:rsid w:val="6C00317B"/>
    <w:rsid w:val="6C010C01"/>
    <w:rsid w:val="6C11591D"/>
    <w:rsid w:val="6C4667A6"/>
    <w:rsid w:val="6C4D50AB"/>
    <w:rsid w:val="6C577D9F"/>
    <w:rsid w:val="6C595064"/>
    <w:rsid w:val="6C6149C5"/>
    <w:rsid w:val="6C6B5F14"/>
    <w:rsid w:val="6C7049B3"/>
    <w:rsid w:val="6C740AB3"/>
    <w:rsid w:val="6C770301"/>
    <w:rsid w:val="6C944FDB"/>
    <w:rsid w:val="6CDA6A4D"/>
    <w:rsid w:val="6CF3298B"/>
    <w:rsid w:val="6CF36B1B"/>
    <w:rsid w:val="6D1424B5"/>
    <w:rsid w:val="6D196FA1"/>
    <w:rsid w:val="6D2E571F"/>
    <w:rsid w:val="6D5515B4"/>
    <w:rsid w:val="6E315BD0"/>
    <w:rsid w:val="6E494CC8"/>
    <w:rsid w:val="6E4D2A4F"/>
    <w:rsid w:val="6E786D73"/>
    <w:rsid w:val="6EBC1057"/>
    <w:rsid w:val="6EEC6902"/>
    <w:rsid w:val="6F1D1FF0"/>
    <w:rsid w:val="6F275319"/>
    <w:rsid w:val="6F3D216C"/>
    <w:rsid w:val="6F6E3908"/>
    <w:rsid w:val="6F840F5B"/>
    <w:rsid w:val="6F872993"/>
    <w:rsid w:val="6FDE03DC"/>
    <w:rsid w:val="6FE274E3"/>
    <w:rsid w:val="6FE43E9E"/>
    <w:rsid w:val="6FF24D44"/>
    <w:rsid w:val="6FF52974"/>
    <w:rsid w:val="70095257"/>
    <w:rsid w:val="70493F3F"/>
    <w:rsid w:val="704A7F86"/>
    <w:rsid w:val="70624CEE"/>
    <w:rsid w:val="70686CCD"/>
    <w:rsid w:val="7083468D"/>
    <w:rsid w:val="708F2C9C"/>
    <w:rsid w:val="70A94F94"/>
    <w:rsid w:val="70EF033B"/>
    <w:rsid w:val="711772FF"/>
    <w:rsid w:val="711F78AF"/>
    <w:rsid w:val="716A223C"/>
    <w:rsid w:val="716D19D1"/>
    <w:rsid w:val="717C3F42"/>
    <w:rsid w:val="71940950"/>
    <w:rsid w:val="71A108A6"/>
    <w:rsid w:val="71B86AA7"/>
    <w:rsid w:val="71DD71B1"/>
    <w:rsid w:val="71E4239E"/>
    <w:rsid w:val="72DE5E68"/>
    <w:rsid w:val="72E47DEF"/>
    <w:rsid w:val="731C4AB6"/>
    <w:rsid w:val="732918BC"/>
    <w:rsid w:val="73966CD6"/>
    <w:rsid w:val="73990CB0"/>
    <w:rsid w:val="7416389E"/>
    <w:rsid w:val="7439635F"/>
    <w:rsid w:val="744A64E5"/>
    <w:rsid w:val="745D0CC7"/>
    <w:rsid w:val="7473766D"/>
    <w:rsid w:val="748F097A"/>
    <w:rsid w:val="748F574E"/>
    <w:rsid w:val="74C05A5F"/>
    <w:rsid w:val="74F32834"/>
    <w:rsid w:val="74FA2C3D"/>
    <w:rsid w:val="75093CC1"/>
    <w:rsid w:val="752022FE"/>
    <w:rsid w:val="753876B2"/>
    <w:rsid w:val="75AD422B"/>
    <w:rsid w:val="75B83D0F"/>
    <w:rsid w:val="75D70B7B"/>
    <w:rsid w:val="75D94197"/>
    <w:rsid w:val="75E2757F"/>
    <w:rsid w:val="75F714D3"/>
    <w:rsid w:val="760117C7"/>
    <w:rsid w:val="76026F20"/>
    <w:rsid w:val="761B4567"/>
    <w:rsid w:val="77317B91"/>
    <w:rsid w:val="77407221"/>
    <w:rsid w:val="774F40EC"/>
    <w:rsid w:val="777C4718"/>
    <w:rsid w:val="78244A06"/>
    <w:rsid w:val="788C5937"/>
    <w:rsid w:val="78B11070"/>
    <w:rsid w:val="78CC5F02"/>
    <w:rsid w:val="78E36922"/>
    <w:rsid w:val="78F05CE4"/>
    <w:rsid w:val="78F40D70"/>
    <w:rsid w:val="79712B30"/>
    <w:rsid w:val="798F1479"/>
    <w:rsid w:val="7A2D1941"/>
    <w:rsid w:val="7A6C1717"/>
    <w:rsid w:val="7AE61600"/>
    <w:rsid w:val="7AE71B09"/>
    <w:rsid w:val="7AEF3CBE"/>
    <w:rsid w:val="7AF67A99"/>
    <w:rsid w:val="7B14648F"/>
    <w:rsid w:val="7B1F209C"/>
    <w:rsid w:val="7B61645C"/>
    <w:rsid w:val="7BE34942"/>
    <w:rsid w:val="7BE93361"/>
    <w:rsid w:val="7BFF0A56"/>
    <w:rsid w:val="7BFF6A0D"/>
    <w:rsid w:val="7C323392"/>
    <w:rsid w:val="7C464C57"/>
    <w:rsid w:val="7C4A67DB"/>
    <w:rsid w:val="7C66738C"/>
    <w:rsid w:val="7C8B583D"/>
    <w:rsid w:val="7C9F359B"/>
    <w:rsid w:val="7CB65D44"/>
    <w:rsid w:val="7CE96A4B"/>
    <w:rsid w:val="7CF85F5A"/>
    <w:rsid w:val="7D1A3281"/>
    <w:rsid w:val="7D3570EC"/>
    <w:rsid w:val="7D37645D"/>
    <w:rsid w:val="7D601E81"/>
    <w:rsid w:val="7D6538A1"/>
    <w:rsid w:val="7DA93C30"/>
    <w:rsid w:val="7DB06383"/>
    <w:rsid w:val="7E0E6405"/>
    <w:rsid w:val="7E2117BD"/>
    <w:rsid w:val="7E5C460C"/>
    <w:rsid w:val="7E7933C9"/>
    <w:rsid w:val="7E8D7EA0"/>
    <w:rsid w:val="7EAE1D27"/>
    <w:rsid w:val="7ECF6782"/>
    <w:rsid w:val="7EFD581B"/>
    <w:rsid w:val="7F001A79"/>
    <w:rsid w:val="7F151AF7"/>
    <w:rsid w:val="7F37173B"/>
    <w:rsid w:val="7F6162B5"/>
    <w:rsid w:val="7F69253E"/>
    <w:rsid w:val="7F6E5443"/>
    <w:rsid w:val="7F7444B4"/>
    <w:rsid w:val="7F947F0B"/>
    <w:rsid w:val="7F986D4D"/>
    <w:rsid w:val="7FB00230"/>
    <w:rsid w:val="7FD76909"/>
    <w:rsid w:val="7FDC0EFB"/>
    <w:rsid w:val="7FE75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2767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20" w:line="307" w:lineRule="auto"/>
    </w:pPr>
    <w:rPr>
      <w:rFonts w:ascii="Times New Roman" w:hAnsi="Times New Roman" w:eastAsia="Noto Serif CJK SC"/>
      <w:color w:val="141414"/>
      <w:sz w:val="21"/>
    </w:r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pPr>
      <w:keepNext w:val="0"/>
      <w:keepLines w:val="0"/>
      <w:widowControl w:val="0"/>
      <w:suppressLineNumbers w:val="0"/>
      <w:spacing w:before="0" w:beforeAutospacing="1" w:after="0" w:afterAutospacing="1"/>
      <w:ind w:left="0" w:right="0"/>
      <w:jc w:val="left"/>
    </w:pPr>
    <w:rPr>
      <w:rFonts w:hint="default" w:ascii="Calibri" w:hAnsi="Calibri" w:eastAsia="宋体" w:cs="Times New Roman"/>
      <w:kern w:val="0"/>
      <w:sz w:val="24"/>
      <w:szCs w:val="24"/>
      <w:lang w:val="en-US" w:eastAsia="zh-CN" w:bidi="ar"/>
    </w:rPr>
  </w:style>
  <w:style w:type="table" w:styleId="8">
    <w:name w:val="Table Grid"/>
    <w:basedOn w:val="7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uiPriority w:val="0"/>
    <w:rPr>
      <w:rFonts w:ascii="Courier New" w:hAnsi="Courier New"/>
      <w:sz w:val="20"/>
    </w:rPr>
  </w:style>
  <w:style w:type="paragraph" w:customStyle="1" w:styleId="12">
    <w:name w:val="样式2"/>
    <w:basedOn w:val="1"/>
    <w:qFormat/>
    <w:uiPriority w:val="0"/>
    <w:pPr>
      <w:tabs>
        <w:tab w:val="center" w:pos="4883"/>
        <w:tab w:val="right" w:pos="9765"/>
      </w:tabs>
    </w:pPr>
    <w:rPr>
      <w:rFonts w:cs="Times New Roman"/>
    </w:rPr>
  </w:style>
  <w:style w:type="paragraph" w:customStyle="1" w:styleId="13">
    <w:name w:val="First Paragraph"/>
    <w:basedOn w:val="4"/>
    <w:next w:val="4"/>
    <w:qFormat/>
    <w:uiPriority w:val="0"/>
    <w:pPr>
      <w:spacing w:before="0" w:after="120" w:line="307" w:lineRule="auto"/>
    </w:pPr>
    <w:rPr>
      <w:rFonts w:ascii="Times New Roman" w:hAnsi="Times New Roman" w:eastAsia="Noto Serif CJK SC"/>
      <w:color w:val="141414"/>
      <w:sz w:val="21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microsoft.com/office/2006/relationships/keyMapCustomizations" Target="customizations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1884</Words>
  <Characters>2760</Characters>
  <Lines>0</Lines>
  <Paragraphs>0</Paragraphs>
  <TotalTime>1</TotalTime>
  <ScaleCrop>false</ScaleCrop>
  <LinksUpToDate>false</LinksUpToDate>
  <CharactersWithSpaces>2768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2025-05-26T06:19:00Z</dcterms:created>
  <dc:creator>26582</dc:creator>
  <cp:lastModifiedBy>天天鸿福</cp:lastModifiedBy>
  <dcterms:modified xsi:type="dcterms:W3CDTF">2026-10-20T11:51:06Z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7F77B03EBCD348C88C6884579CF1CF1E_12</vt:lpwstr>
  </property>
  <property fmtid="{D5CDD505-2E9C-101B-9397-08002B2CF9AE}" pid="4" name="KSOTemplateDocerSaveRecord">
    <vt:lpwstr>eyJoZGlkIjoiN2YzNGQ5N2I0OGRiZmEwNTU4ZGNiNzkyYWM1YjhiZDkiLCJ1c2VySWQiOiIyNjM1ODc4MjYifQ==</vt:lpwstr>
  </property>
</Properties>
</file>