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334" w:lineRule="exact" w:before="32" w:after="0"/>
        <w:ind w:left="0" w:right="0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32"/>
        </w:rPr>
        <w:t xml:space="preserve">Towards Flexible and Automated Data Conversion to OMOP CDM </w:t>
      </w:r>
      <w:r>
        <w:rPr>
          <w:rFonts w:ascii="LibertinusSerif" w:hAnsi="LibertinusSerif" w:eastAsia="LibertinusSerif"/>
          <w:b/>
          <w:i w:val="0"/>
          <w:color w:val="000000"/>
          <w:sz w:val="32"/>
        </w:rPr>
        <w:t>Through an Agent Skill-based Approach</w:t>
      </w:r>
    </w:p>
    <w:p>
      <w:pPr>
        <w:autoSpaceDN w:val="0"/>
        <w:autoSpaceDE w:val="0"/>
        <w:widowControl/>
        <w:spacing w:line="250" w:lineRule="exact" w:before="232" w:after="0"/>
        <w:ind w:left="282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Huan He, Vipina K. Keloth, Lingfei Qian, Vincent J Zhang, Yujia Zhou, Na Hong, Hua Xu</w:t>
      </w:r>
    </w:p>
    <w:p>
      <w:pPr>
        <w:autoSpaceDN w:val="0"/>
        <w:autoSpaceDE w:val="0"/>
        <w:widowControl/>
        <w:spacing w:line="228" w:lineRule="exact" w:before="72" w:after="0"/>
        <w:ind w:left="266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0"/>
        </w:rPr>
        <w:t>Department of Biomedical Informatics and Data Science, Yale School of Medicine, New Haven, CT</w:t>
      </w:r>
    </w:p>
    <w:p>
      <w:pPr>
        <w:autoSpaceDN w:val="0"/>
        <w:autoSpaceDE w:val="0"/>
        <w:widowControl/>
        <w:spacing w:line="252" w:lineRule="exact" w:before="356" w:after="0"/>
        <w:ind w:left="8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Background</w:t>
      </w:r>
    </w:p>
    <w:p>
      <w:pPr>
        <w:autoSpaceDN w:val="0"/>
        <w:autoSpaceDE w:val="0"/>
        <w:widowControl/>
        <w:spacing w:line="232" w:lineRule="exact" w:before="32" w:after="0"/>
        <w:ind w:left="8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Transforming heterogeneous clinical data into the OMOP Common Data Model (CDM) is a prerequisite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for many cohort-based observational studies and downstream analytics, especially in the context of multi-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site research.1</w:t>
      </w:r>
      <w:r>
        <w:rPr>
          <w:w w:val="101.53846007127028"/>
          <w:rFonts w:ascii="LibertinusSerif" w:hAnsi="LibertinusSerif" w:eastAsia="LibertinusSerif"/>
          <w:b w:val="0"/>
          <w:i w:val="0"/>
          <w:color w:val="000000"/>
          <w:sz w:val="13"/>
        </w:rPr>
        <w:t>,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2 In practice, clinical study data are often assembled from multiple source formats and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systems, such as registries, electronic health records (EHRs), insurance claims, SDTM datasets, surveys, or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FHIR resources, each with different schemas, coding systems, and completeness patterns.3 To map registry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data, linked national health datasets, and FHIR-based data to the OMOP CDM, it usually requires an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extract-transform-load (ETL) pipeline which provides source profiling, vocabulary mapping to standard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concepts, restructuring into OMOP domains, and validation of person-level and temporal consistency.4</w:t>
      </w:r>
      <w:r>
        <w:rPr>
          <w:w w:val="101.53846007127028"/>
          <w:rFonts w:ascii="LibertinusSerif" w:hAnsi="LibertinusSerif" w:eastAsia="LibertinusSerif"/>
          <w:b w:val="0"/>
          <w:i w:val="0"/>
          <w:color w:val="000000"/>
          <w:sz w:val="13"/>
        </w:rPr>
        <w:t>,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5</w:t>
      </w:r>
    </w:p>
    <w:p>
      <w:pPr>
        <w:autoSpaceDN w:val="0"/>
        <w:autoSpaceDE w:val="0"/>
        <w:widowControl/>
        <w:spacing w:line="232" w:lineRule="exact" w:before="88" w:after="0"/>
        <w:ind w:left="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However, OMOP ETL development still remains labor-intensive because source schemas vary across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institutions, concept mapping requires careful alignment to standard vocabularies, and referential con­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sistency must be maintained across clinical event tables. In practice, building an ETL pipeline usually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involves multiple stages, including source profiling, mapping design, implementation, iterative testing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and validation, evaluation of data quality and fidelity, and final deployment for downstream analyses.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These steps also require multiple types of domain knowledge, including familiarity with the OMOP CDM,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source data structures and conventions, phenotype and vocabulary mapping, and practical programming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and data engineering skills.6 These challenges make ETL development difficult to standardize and reuse.</w:t>
      </w:r>
    </w:p>
    <w:p>
      <w:pPr>
        <w:autoSpaceDN w:val="0"/>
        <w:autoSpaceDE w:val="0"/>
        <w:widowControl/>
        <w:spacing w:line="232" w:lineRule="exact" w:before="88" w:after="0"/>
        <w:ind w:left="8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To address this problem, we propose an agent skill-based approach for flexible and repeatable OMOP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ETL development. With our customized agent skill </w:t>
      </w:r>
      <w:r>
        <w:rPr>
          <w:w w:val="97.77777989705405"/>
          <w:rFonts w:ascii="DejaVu Sans Mono" w:hAnsi="DejaVu Sans Mono" w:eastAsia="DejaVu Sans Mono"/>
          <w:b w:val="0"/>
          <w:i w:val="0"/>
          <w:color w:val="000000"/>
          <w:sz w:val="18"/>
        </w:rPr>
        <w:t>create-omop-etl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, coding agents such as Claude Code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and Codex can use OMOP dictionary knowledge and evaluation procedures to dynamically generate ETL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pipelines tailored to the input source data.</w:t>
      </w:r>
    </w:p>
    <w:p>
      <w:pPr>
        <w:autoSpaceDN w:val="0"/>
        <w:autoSpaceDE w:val="0"/>
        <w:widowControl/>
        <w:spacing w:line="252" w:lineRule="exact" w:before="1438" w:after="0"/>
        <w:ind w:left="0" w:right="3152" w:firstLine="0"/>
        <w:jc w:val="right"/>
      </w:pPr>
      <w:r>
        <w:rPr>
          <w:rFonts w:ascii="LibertinusSerif" w:hAnsi="LibertinusSerif" w:eastAsia="LibertinusSerif"/>
          <w:b w:val="0"/>
          <w:i w:val="0"/>
          <w:color w:val="AAAAAA"/>
          <w:sz w:val="22"/>
        </w:rPr>
        <w:t>Overall method and workflow figure</w:t>
      </w:r>
    </w:p>
    <w:p>
      <w:pPr>
        <w:autoSpaceDN w:val="0"/>
        <w:autoSpaceDE w:val="0"/>
        <w:widowControl/>
        <w:spacing w:line="204" w:lineRule="exact" w:before="1414" w:after="0"/>
        <w:ind w:left="0" w:right="0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18"/>
        </w:rPr>
        <w:t xml:space="preserve">Figure 1 </w:t>
      </w:r>
      <w:r>
        <w:rPr>
          <w:rFonts w:ascii="LibertinusSerif" w:hAnsi="LibertinusSerif" w:eastAsia="LibertinusSerif"/>
          <w:b w:val="0"/>
          <w:i w:val="0"/>
          <w:color w:val="000000"/>
          <w:sz w:val="18"/>
        </w:rPr>
        <w:t>: Overall description of the method and workflow.</w:t>
      </w:r>
    </w:p>
    <w:p>
      <w:pPr>
        <w:autoSpaceDN w:val="0"/>
        <w:autoSpaceDE w:val="0"/>
        <w:widowControl/>
        <w:spacing w:line="250" w:lineRule="exact" w:before="142" w:after="0"/>
        <w:ind w:left="8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Methods</w:t>
      </w:r>
    </w:p>
    <w:p>
      <w:pPr>
        <w:autoSpaceDN w:val="0"/>
        <w:autoSpaceDE w:val="0"/>
        <w:widowControl/>
        <w:spacing w:line="232" w:lineRule="exact" w:before="34" w:after="0"/>
        <w:ind w:left="8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We implemented an Agent Skill to support OMOP CDM v5.4 ETL pipeline development. As shown in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Figure 1, the workflow begins by inspecting source schema information or sample records to identify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relevant OMOP domains and required fields. The agent then produces an explicit source-to-OMOP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mapping plan that specifies how source tables and fields correspond to OMOP tables and columns. After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the mapping plan is reviewed, the workflow generates ETL artifacts, including Python transformation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scripts and SQL loading scripts. The skill also incorporates basic validation logic to check concept mapping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completeness, referential integrity, and temporal consistency, while preserving original source values for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traceability.</w:t>
      </w:r>
    </w:p>
    <w:p>
      <w:pPr>
        <w:sectPr>
          <w:pgSz w:w="12240" w:h="15840"/>
          <w:pgMar w:top="680" w:right="1326" w:bottom="968" w:left="1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250" w:lineRule="exact" w:before="0" w:after="56"/>
        <w:ind w:left="8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Results</w:t>
      </w:r>
    </w:p>
    <w:p>
      <w:pPr>
        <w:sectPr>
          <w:pgSz w:w="12240" w:h="15840"/>
          <w:pgMar w:top="694" w:right="1326" w:bottom="720" w:left="143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3161"/>
        <w:gridCol w:w="3161"/>
        <w:gridCol w:w="3161"/>
      </w:tblGrid>
      <w:tr>
        <w:trPr>
          <w:trHeight w:hRule="exact" w:val="208"/>
        </w:trPr>
        <w:tc>
          <w:tcPr>
            <w:tcW w:type="dxa" w:w="13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0" w:firstLine="0"/>
              <w:jc w:val="center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20"/>
              </w:rPr>
              <w:t>Dataset Name</w:t>
            </w:r>
          </w:p>
        </w:tc>
        <w:tc>
          <w:tcPr>
            <w:tcW w:type="dxa" w:w="10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124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20"/>
              </w:rPr>
              <w:t># Records</w:t>
            </w:r>
          </w:p>
        </w:tc>
        <w:tc>
          <w:tcPr>
            <w:tcW w:type="dxa" w:w="2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20"/>
              </w:rPr>
              <w:t>Example</w:t>
            </w:r>
          </w:p>
        </w:tc>
      </w:tr>
      <w:tr>
        <w:trPr>
          <w:trHeight w:hRule="exact" w:val="212"/>
        </w:trPr>
        <w:tc>
          <w:tcPr>
            <w:tcW w:type="dxa" w:w="13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Dataset A</w:t>
            </w:r>
          </w:p>
        </w:tc>
        <w:tc>
          <w:tcPr>
            <w:tcW w:type="dxa" w:w="10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36" w:firstLine="0"/>
              <w:jc w:val="righ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2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Registry export</w:t>
            </w:r>
          </w:p>
        </w:tc>
      </w:tr>
      <w:tr>
        <w:trPr>
          <w:trHeight w:hRule="exact" w:val="212"/>
        </w:trPr>
        <w:tc>
          <w:tcPr>
            <w:tcW w:type="dxa" w:w="13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Dataset B</w:t>
            </w:r>
          </w:p>
        </w:tc>
        <w:tc>
          <w:tcPr>
            <w:tcW w:type="dxa" w:w="10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36" w:firstLine="0"/>
              <w:jc w:val="righ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2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EHR extract</w:t>
            </w:r>
          </w:p>
        </w:tc>
      </w:tr>
      <w:tr>
        <w:trPr>
          <w:trHeight w:hRule="exact" w:val="212"/>
        </w:trPr>
        <w:tc>
          <w:tcPr>
            <w:tcW w:type="dxa" w:w="13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Dataset C</w:t>
            </w:r>
          </w:p>
        </w:tc>
        <w:tc>
          <w:tcPr>
            <w:tcW w:type="dxa" w:w="10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0" w:right="36" w:firstLine="0"/>
              <w:jc w:val="righ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TBD</w:t>
            </w:r>
          </w:p>
        </w:tc>
        <w:tc>
          <w:tcPr>
            <w:tcW w:type="dxa" w:w="2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20"/>
              </w:rPr>
              <w:t>FHIR resources</w:t>
            </w:r>
          </w:p>
        </w:tc>
      </w:tr>
    </w:tbl>
    <w:p>
      <w:pPr>
        <w:autoSpaceDN w:val="0"/>
        <w:autoSpaceDE w:val="0"/>
        <w:widowControl/>
        <w:spacing w:line="206" w:lineRule="exact" w:before="96" w:after="0"/>
        <w:ind w:left="540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18"/>
        </w:rPr>
        <w:t xml:space="preserve">Table 1 </w:t>
      </w:r>
      <w:r>
        <w:rPr>
          <w:rFonts w:ascii="LibertinusSerif" w:hAnsi="LibertinusSerif" w:eastAsia="LibertinusSerif"/>
          <w:b w:val="0"/>
          <w:i w:val="0"/>
          <w:color w:val="000000"/>
          <w:sz w:val="18"/>
        </w:rPr>
        <w:t>: Representative datasets for validation.</w:t>
      </w:r>
    </w:p>
    <w:p>
      <w:pPr>
        <w:sectPr>
          <w:type w:val="continuous"/>
          <w:pgSz w:w="12240" w:h="15840"/>
          <w:pgMar w:top="694" w:right="1326" w:bottom="720" w:left="1432" w:header="720" w:footer="720" w:gutter="0"/>
          <w:cols w:num="2" w:equalWidth="0">
            <w:col w:w="4688" w:space="0"/>
            <w:col w:w="47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3161"/>
        <w:gridCol w:w="3161"/>
        <w:gridCol w:w="3161"/>
      </w:tblGrid>
      <w:tr>
        <w:trPr>
          <w:trHeight w:hRule="exact" w:val="196"/>
        </w:trPr>
        <w:tc>
          <w:tcPr>
            <w:tcW w:type="dxa" w:w="15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8"/>
              </w:rPr>
              <w:t>Output Artifact</w:t>
            </w:r>
          </w:p>
        </w:tc>
        <w:tc>
          <w:tcPr>
            <w:tcW w:type="dxa" w:w="1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8"/>
              </w:rPr>
              <w:t>Generated</w:t>
            </w:r>
          </w:p>
        </w:tc>
        <w:tc>
          <w:tcPr>
            <w:tcW w:type="dxa" w:w="18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/>
                <w:i w:val="0"/>
                <w:color w:val="000000"/>
                <w:sz w:val="18"/>
              </w:rPr>
              <w:t>Notes</w:t>
            </w:r>
          </w:p>
        </w:tc>
      </w:tr>
      <w:tr>
        <w:trPr>
          <w:trHeight w:hRule="exact" w:val="198"/>
        </w:trPr>
        <w:tc>
          <w:tcPr>
            <w:tcW w:type="dxa" w:w="15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Mapping plan</w:t>
            </w:r>
          </w:p>
        </w:tc>
        <w:tc>
          <w:tcPr>
            <w:tcW w:type="dxa" w:w="1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8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198"/>
        </w:trPr>
        <w:tc>
          <w:tcPr>
            <w:tcW w:type="dxa" w:w="15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Python ETL script</w:t>
            </w:r>
          </w:p>
        </w:tc>
        <w:tc>
          <w:tcPr>
            <w:tcW w:type="dxa" w:w="1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8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rPr>
          <w:trHeight w:hRule="exact" w:val="200"/>
        </w:trPr>
        <w:tc>
          <w:tcPr>
            <w:tcW w:type="dxa" w:w="1546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Validation report</w:t>
            </w:r>
          </w:p>
        </w:tc>
        <w:tc>
          <w:tcPr>
            <w:tcW w:type="dxa" w:w="1138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center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1864"/>
            <w:tcBorders>
              <w:start w:sz="3.200000047683716" w:val="single" w:color="#000000"/>
              <w:top w:sz="3.200000047683716" w:val="single" w:color="#000000"/>
              <w:end w:sz="3.200000047683716" w:val="single" w:color="#000000"/>
              <w:bottom w:sz="3.2000000476837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36" w:right="0" w:firstLine="0"/>
              <w:jc w:val="left"/>
            </w:pPr>
            <w:r>
              <w:rPr>
                <w:rFonts w:ascii="LibertinusSerif" w:hAnsi="LibertinusSerif" w:eastAsia="LibertinusSerif"/>
                <w:b w:val="0"/>
                <w:i w:val="0"/>
                <w:color w:val="000000"/>
                <w:sz w:val="18"/>
              </w:rPr>
              <w:t>Partial</w:t>
            </w:r>
          </w:p>
        </w:tc>
      </w:tr>
    </w:tbl>
    <w:p>
      <w:pPr>
        <w:autoSpaceDN w:val="0"/>
        <w:autoSpaceDE w:val="0"/>
        <w:widowControl/>
        <w:spacing w:line="206" w:lineRule="exact" w:before="96" w:after="132"/>
        <w:ind w:left="0" w:right="0" w:firstLine="0"/>
        <w:jc w:val="center"/>
      </w:pPr>
      <w:r>
        <w:rPr>
          <w:rFonts w:ascii="LibertinusSerif" w:hAnsi="LibertinusSerif" w:eastAsia="LibertinusSerif"/>
          <w:b/>
          <w:i w:val="0"/>
          <w:color w:val="000000"/>
          <w:sz w:val="18"/>
        </w:rPr>
        <w:t xml:space="preserve">Table 2 </w:t>
      </w:r>
      <w:r>
        <w:rPr>
          <w:rFonts w:ascii="LibertinusSerif" w:hAnsi="LibertinusSerif" w:eastAsia="LibertinusSerif"/>
          <w:b w:val="0"/>
          <w:i w:val="0"/>
          <w:color w:val="000000"/>
          <w:sz w:val="18"/>
        </w:rPr>
        <w:t>: Example summary of ETL generation outputs.</w:t>
      </w:r>
    </w:p>
    <w:p>
      <w:pPr>
        <w:sectPr>
          <w:type w:val="nextColumn"/>
          <w:pgSz w:w="12240" w:h="15840"/>
          <w:pgMar w:top="694" w:right="1326" w:bottom="720" w:left="1432" w:header="720" w:footer="720" w:gutter="0"/>
          <w:cols w:num="2" w:equalWidth="0">
            <w:col w:w="4688" w:space="0"/>
            <w:col w:w="4794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18" w:after="0"/>
        <w:ind w:left="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Table 1 summarizes representative datasets used to examine the workflow across multiple source formats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and validation scenarios. Table 2 provides a compact example of the generated ETL artifacts and review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status to illustrate how results can be presented side by side. This workflow demonstrated the feasibility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of using an Agent Skill to support OMOP ETL design and implementation in a more structured manner.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Instead of relying only on ad hoc manual scripting, the skill makes mapping assumptions explicit, scaffolds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ETL generation around common OMOP domains, and produces reusable transformation and validation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components. The approach is particularly useful for rapidly organizing pipelines for core domains such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as PERSON, VISIT_OCCURRENCE, CONDITION_OCCURRENCE, DRUG_EXPOSURE, and MEASURE­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MENT while keeping unresolved mappings visible for later refinement.</w:t>
      </w:r>
    </w:p>
    <w:p>
      <w:pPr>
        <w:autoSpaceDN w:val="0"/>
        <w:autoSpaceDE w:val="0"/>
        <w:widowControl/>
        <w:spacing w:line="232" w:lineRule="exact" w:before="88" w:after="0"/>
        <w:ind w:left="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Across all three datasets, the skill successfully produced mapping plans and executable ETL scripts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without requiring manual pipeline scaffolding. For Dataset A, a registry export containing approximately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TBD records, the skill identified TBD source tables and generated mappings covering the PERSON,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CONDITION_OCCURRENCE, and DRUG_EXPOSURE domains; concept mapping completeness reached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TBD% against standard OMOP vocabularies. For Dataset B, an EHR extract with TBD records, the skill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resolved TBD% of source codes to standard concepts and flagged TBD unmapped codes for manual review,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producing a fully executable Python ETL script and a corresponding SQL loading script. For Dataset C,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consisting of TBD FHIR resources, the skill parsed resource types directly into OMOP domain targets and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achieved TBD% referential integrity on VISIT_OCCURRENCE foreign keys; temporal consistency checks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identified TBD records requiring date reconciliation.</w:t>
      </w:r>
    </w:p>
    <w:p>
      <w:pPr>
        <w:autoSpaceDN w:val="0"/>
        <w:autoSpaceDE w:val="0"/>
        <w:widowControl/>
        <w:spacing w:line="250" w:lineRule="exact" w:before="70" w:after="0"/>
        <w:ind w:left="8" w:right="0" w:firstLine="0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The project repository is available at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hyperlink r:id="rId9" w:history="1">
          <w:r>
            <w:rPr>
              <w:rStyle w:val="Hyperlink"/>
            </w:rPr>
            <w:t>https://github.com/BIDS-Xu-Lab/omop-etl-skill</w:t>
          </w:r>
        </w:hyperlink>
      </w:r>
    </w:p>
    <w:p>
      <w:pPr>
        <w:autoSpaceDN w:val="0"/>
        <w:autoSpaceDE w:val="0"/>
        <w:widowControl/>
        <w:spacing w:line="250" w:lineRule="exact" w:before="132" w:after="0"/>
        <w:ind w:left="8" w:right="0" w:firstLine="0"/>
        <w:jc w:val="lef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Conclusion</w:t>
      </w:r>
    </w:p>
    <w:p>
      <w:pPr>
        <w:autoSpaceDN w:val="0"/>
        <w:autoSpaceDE w:val="0"/>
        <w:widowControl/>
        <w:spacing w:line="232" w:lineRule="exact" w:before="34" w:after="0"/>
        <w:ind w:left="8" w:right="58" w:firstLine="0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An Agent Skill provides a practical and lightweight approach for supporting OMOP ETL development. By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structuring schema interpretation, mapping specification, code generation, and validation into a single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workflow, it can reduce manual effort and improve transparency in the data conversion process. Future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work will focus on expanding domain coverage, strengthening vocabulary-assisted concept mapping, and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>conducting more formal evaluations in real-world data conversion settings.</w:t>
      </w:r>
    </w:p>
    <w:p>
      <w:pPr>
        <w:autoSpaceDN w:val="0"/>
        <w:autoSpaceDE w:val="0"/>
        <w:widowControl/>
        <w:spacing w:line="250" w:lineRule="exact" w:before="132" w:after="0"/>
        <w:ind w:left="0" w:right="4246" w:firstLine="0"/>
        <w:jc w:val="right"/>
      </w:pPr>
      <w:r>
        <w:rPr>
          <w:rFonts w:ascii="LibertinusSerif" w:hAnsi="LibertinusSerif" w:eastAsia="LibertinusSerif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34" w:lineRule="exact" w:before="30" w:after="0"/>
        <w:ind w:left="356" w:right="58" w:hanging="348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1. Hripcsak G, Duke JD, Shah NH, Reich CG, Huser V, Schuemie MJ, et al. Observational Health Data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Sciences and Informatics (OHDSI): Opportunities for Observational Researchers. Studies in Health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Technology and Informatics. 2015 ;216:574–8. </w:t>
      </w:r>
    </w:p>
    <w:p>
      <w:pPr>
        <w:autoSpaceDN w:val="0"/>
        <w:autoSpaceDE w:val="0"/>
        <w:widowControl/>
        <w:spacing w:line="232" w:lineRule="exact" w:before="90" w:after="0"/>
        <w:ind w:left="356" w:right="58" w:hanging="348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2. Biedermann P, Ong R, Davydov A, Orlova A, Solovyev P, Sun H, et al. Standardizing Registry Data to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the OMOP Common Data Model: Experience from Three Pulmonary Hypertension Databases. BMC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Medical Research Methodology. 2021 ;21(1):238. </w:t>
      </w:r>
    </w:p>
    <w:p>
      <w:pPr>
        <w:autoSpaceDN w:val="0"/>
        <w:autoSpaceDE w:val="0"/>
        <w:widowControl/>
        <w:spacing w:line="232" w:lineRule="exact" w:before="90" w:after="0"/>
        <w:ind w:left="356" w:right="58" w:hanging="348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3. Voss EA, Makadia R, Matcho A, Ma Q, Knoll C, Schuemie M, et al. Feasibility and Utility of Applications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of the Common Data Model to Multiple, Disparate Observational Health Databases. Journal of the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American Medical Informatics Association. 2015 ;22(3):553–64. </w:t>
      </w:r>
    </w:p>
    <w:p>
      <w:pPr>
        <w:autoSpaceDN w:val="0"/>
        <w:autoSpaceDE w:val="0"/>
        <w:widowControl/>
        <w:spacing w:line="232" w:lineRule="exact" w:before="90" w:after="0"/>
        <w:ind w:left="356" w:right="0" w:hanging="348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4. Oja M, Tamm S, Mooses K, Pajusalu M, Talvik HA, Ott A, et al. Transforming Estonian Health Data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to the Observational Medical Outcomes Partnership (OMOP) Common Data Model: Lessons Learned.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JAMIA Open. 2023 ;6(4):ooad100. </w:t>
      </w:r>
    </w:p>
    <w:p>
      <w:pPr>
        <w:autoSpaceDN w:val="0"/>
        <w:autoSpaceDE w:val="0"/>
        <w:widowControl/>
        <w:spacing w:line="232" w:lineRule="exact" w:before="88" w:after="0"/>
        <w:ind w:left="356" w:right="0" w:hanging="348"/>
        <w:jc w:val="left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5. Peng Y, Henke E, Sedlmayr M. From Heterogeneity to Uniformity: A Metadata-Driven ETL Process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for Transforming FHIR Data into OMOP CDM. Studies in Health Technology and Informatics.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2025 ;323:290–1. </w:t>
      </w:r>
    </w:p>
    <w:p>
      <w:pPr>
        <w:autoSpaceDN w:val="0"/>
        <w:autoSpaceDE w:val="0"/>
        <w:widowControl/>
        <w:spacing w:line="234" w:lineRule="exact" w:before="86" w:after="0"/>
        <w:ind w:left="356" w:right="58" w:hanging="348"/>
        <w:jc w:val="both"/>
      </w:pP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6. Papez V, Moinat M, Payralbe S, Asselbergs FW, Lumbers RT, Hemingway H, et al. Transforming and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Evaluating Electronic Health Record Disease Phenotyping Algorithms Using the OMOP Common </w:t>
      </w:r>
      <w:r>
        <w:rPr>
          <w:rFonts w:ascii="LibertinusSerif" w:hAnsi="LibertinusSerif" w:eastAsia="LibertinusSerif"/>
          <w:b w:val="0"/>
          <w:i w:val="0"/>
          <w:color w:val="000000"/>
          <w:sz w:val="22"/>
        </w:rPr>
        <w:t xml:space="preserve">Data Model: A Case Study in Heart Failure. JAMIA Open. 2021 ;4(3):ooab1. </w:t>
      </w:r>
    </w:p>
    <w:sectPr w:rsidR="00FC693F" w:rsidRPr="0006063C" w:rsidSect="00034616">
      <w:type w:val="continuous"/>
      <w:pgSz w:w="12240" w:h="15840"/>
      <w:pgMar w:top="694" w:right="1326" w:bottom="720" w:left="14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IDS-Xu-Lab/omop-etl-ski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