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3CC" w:rsidRPr="00C158DD" w:rsidRDefault="008543CC" w:rsidP="00C158DD">
      <w:pPr>
        <w:pStyle w:val="Textoindependiente"/>
        <w:jc w:val="both"/>
        <w:rPr>
          <w:rFonts w:asciiTheme="minorHAnsi" w:hAnsiTheme="minorHAnsi"/>
          <w:sz w:val="28"/>
          <w:szCs w:val="24"/>
        </w:rPr>
      </w:pPr>
    </w:p>
    <w:p w:rsidR="008543CC" w:rsidRPr="00C158DD" w:rsidRDefault="008543CC" w:rsidP="00C158DD">
      <w:pPr>
        <w:pStyle w:val="Textoindependiente"/>
        <w:jc w:val="both"/>
        <w:rPr>
          <w:rFonts w:asciiTheme="minorHAnsi" w:hAnsiTheme="minorHAnsi"/>
          <w:sz w:val="28"/>
          <w:szCs w:val="24"/>
        </w:rPr>
      </w:pPr>
    </w:p>
    <w:p w:rsidR="00C158DD" w:rsidRPr="00C158DD" w:rsidRDefault="00C158DD" w:rsidP="00C158DD">
      <w:pPr>
        <w:pStyle w:val="Ttulo1"/>
        <w:spacing w:before="184"/>
        <w:jc w:val="both"/>
        <w:rPr>
          <w:rFonts w:asciiTheme="minorHAnsi" w:hAnsiTheme="minorHAnsi"/>
          <w:sz w:val="28"/>
          <w:szCs w:val="24"/>
        </w:rPr>
      </w:pPr>
      <w:r w:rsidRPr="00C158DD">
        <w:rPr>
          <w:rFonts w:asciiTheme="minorHAnsi" w:hAnsiTheme="minorHAnsi"/>
          <w:color w:val="F7921E"/>
          <w:sz w:val="28"/>
          <w:szCs w:val="24"/>
        </w:rPr>
        <w:t>El mercado eléctrico español</w:t>
      </w:r>
    </w:p>
    <w:p w:rsidR="008543CC" w:rsidRPr="00C158DD" w:rsidRDefault="008543CC" w:rsidP="00C158DD">
      <w:pPr>
        <w:pStyle w:val="Textoindependiente"/>
        <w:spacing w:before="9"/>
        <w:jc w:val="both"/>
        <w:rPr>
          <w:rFonts w:asciiTheme="minorHAnsi" w:hAnsiTheme="minorHAnsi"/>
          <w:sz w:val="28"/>
          <w:szCs w:val="24"/>
        </w:rPr>
      </w:pPr>
    </w:p>
    <w:p w:rsidR="00C158DD" w:rsidRPr="00C158DD" w:rsidRDefault="00C158DD" w:rsidP="00C158DD">
      <w:pPr>
        <w:pStyle w:val="Textoindependiente"/>
        <w:spacing w:line="259" w:lineRule="auto"/>
        <w:ind w:left="100" w:right="160"/>
        <w:jc w:val="both"/>
        <w:rPr>
          <w:rFonts w:asciiTheme="minorHAnsi" w:hAnsiTheme="minorHAnsi"/>
          <w:w w:val="90"/>
          <w:sz w:val="28"/>
          <w:szCs w:val="24"/>
        </w:rPr>
      </w:pPr>
      <w:bookmarkStart w:id="0" w:name="El_mercado_eléctrico_diario"/>
      <w:bookmarkEnd w:id="0"/>
    </w:p>
    <w:p w:rsidR="00C158DD" w:rsidRPr="00C158DD" w:rsidRDefault="00C158DD" w:rsidP="00C158DD">
      <w:pPr>
        <w:widowControl/>
        <w:adjustRightInd w:val="0"/>
        <w:jc w:val="both"/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</w:pP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El mercado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eléctrico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español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está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compuesto por varios mercados en los que se casa la</w:t>
      </w:r>
      <w:r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oferta a diferentes plazos. Uno de estos mercados es el mercado diario, a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través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del cual</w:t>
      </w:r>
      <w:r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se fija el precio de la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energía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con un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día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de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antelación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. Cada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día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, los productores de</w:t>
      </w:r>
      <w:r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energía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presentan ofertas de venta mientras que los demandantes de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energía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presentan</w:t>
      </w:r>
      <w:r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ofertas de compra.</w:t>
      </w:r>
    </w:p>
    <w:p w:rsidR="00C158DD" w:rsidRDefault="00C158DD" w:rsidP="00C158DD">
      <w:pPr>
        <w:widowControl/>
        <w:adjustRightInd w:val="0"/>
        <w:jc w:val="both"/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</w:pPr>
    </w:p>
    <w:p w:rsidR="00C158DD" w:rsidRDefault="00C158DD" w:rsidP="00C158DD">
      <w:pPr>
        <w:widowControl/>
        <w:adjustRightInd w:val="0"/>
        <w:jc w:val="both"/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</w:pPr>
      <w:bookmarkStart w:id="1" w:name="_GoBack"/>
      <w:bookmarkEnd w:id="1"/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Como resultado de las ofertas anteriores, se realiza una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casación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que da lugar al precio</w:t>
      </w:r>
      <w:r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de la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energía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ofertada para el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día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siguiente.</w:t>
      </w:r>
    </w:p>
    <w:p w:rsidR="00C158DD" w:rsidRPr="00C158DD" w:rsidRDefault="00C158DD" w:rsidP="00C158DD">
      <w:pPr>
        <w:widowControl/>
        <w:adjustRightInd w:val="0"/>
        <w:jc w:val="both"/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</w:pPr>
    </w:p>
    <w:p w:rsidR="008543CC" w:rsidRDefault="00C158DD" w:rsidP="00C158DD">
      <w:pPr>
        <w:widowControl/>
        <w:adjustRightInd w:val="0"/>
        <w:jc w:val="both"/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</w:pP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El Operador del Mercado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Ibérico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Española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(OMIE) gestiona de manera integrada los</w:t>
      </w:r>
      <w:r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mercados diarios e intradiario para toda la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Península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Ibérica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y su modelo de funcionamiento</w:t>
      </w:r>
      <w:r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es el mismo que el de otros muchos mercados europeos. OMIE ofrece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información</w:t>
      </w:r>
      <w:r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proofErr w:type="spellStart"/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publica</w:t>
      </w:r>
      <w:proofErr w:type="spellEnd"/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sobre los precios a los que se ha cerrado la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casación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cada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día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.</w:t>
      </w:r>
    </w:p>
    <w:p w:rsidR="00C158DD" w:rsidRDefault="00C158DD" w:rsidP="00C158DD">
      <w:pPr>
        <w:pStyle w:val="Textoindependiente"/>
        <w:jc w:val="both"/>
        <w:rPr>
          <w:rFonts w:asciiTheme="minorHAnsi" w:hAnsiTheme="minorHAnsi"/>
          <w:sz w:val="28"/>
          <w:szCs w:val="24"/>
        </w:rPr>
      </w:pPr>
    </w:p>
    <w:p w:rsidR="00C158DD" w:rsidRPr="00C158DD" w:rsidRDefault="00C158DD" w:rsidP="00C158DD">
      <w:pPr>
        <w:pStyle w:val="Textoindependiente"/>
        <w:jc w:val="both"/>
        <w:rPr>
          <w:rFonts w:asciiTheme="minorHAnsi" w:hAnsiTheme="minorHAnsi"/>
          <w:sz w:val="28"/>
          <w:szCs w:val="24"/>
        </w:rPr>
      </w:pPr>
    </w:p>
    <w:p w:rsidR="008543CC" w:rsidRPr="00C158DD" w:rsidRDefault="00C158DD" w:rsidP="00C158DD">
      <w:pPr>
        <w:pStyle w:val="Ttulo1"/>
        <w:spacing w:before="184"/>
        <w:jc w:val="both"/>
        <w:rPr>
          <w:rFonts w:asciiTheme="minorHAnsi" w:hAnsiTheme="minorHAnsi"/>
          <w:sz w:val="28"/>
          <w:szCs w:val="24"/>
        </w:rPr>
      </w:pPr>
      <w:r w:rsidRPr="00C158DD">
        <w:rPr>
          <w:rFonts w:asciiTheme="minorHAnsi" w:hAnsiTheme="minorHAnsi"/>
          <w:color w:val="F7921E"/>
          <w:sz w:val="28"/>
          <w:szCs w:val="24"/>
        </w:rPr>
        <w:t>Asignaciones</w:t>
      </w:r>
    </w:p>
    <w:p w:rsidR="008543CC" w:rsidRPr="00C158DD" w:rsidRDefault="008543CC" w:rsidP="00C158DD">
      <w:pPr>
        <w:pStyle w:val="Textoindependiente"/>
        <w:spacing w:before="2"/>
        <w:jc w:val="both"/>
        <w:rPr>
          <w:rFonts w:asciiTheme="minorHAnsi" w:hAnsiTheme="minorHAnsi"/>
          <w:sz w:val="28"/>
          <w:szCs w:val="24"/>
        </w:rPr>
      </w:pPr>
    </w:p>
    <w:p w:rsidR="00C158DD" w:rsidRPr="00C158DD" w:rsidRDefault="00C158DD" w:rsidP="00C158DD">
      <w:pPr>
        <w:widowControl/>
        <w:adjustRightInd w:val="0"/>
        <w:jc w:val="both"/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</w:pP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La tarea consiste en:</w:t>
      </w:r>
    </w:p>
    <w:p w:rsidR="00C158DD" w:rsidRPr="00C158DD" w:rsidRDefault="00C158DD" w:rsidP="00C158DD">
      <w:pPr>
        <w:pStyle w:val="Prrafodelista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</w:pP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O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btener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información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pública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sobre el resultado del cierre de la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casación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del mercado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diario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,</w:t>
      </w:r>
    </w:p>
    <w:p w:rsidR="00C158DD" w:rsidRPr="00C158DD" w:rsidRDefault="00C158DD" w:rsidP="00C158DD">
      <w:pPr>
        <w:pStyle w:val="Prrafodelista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</w:pP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R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ealizar un modelo de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previsión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que permitan estimar el precio de la 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>energía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del</w:t>
      </w:r>
      <w:r w:rsidRPr="00C158DD"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  <w:t xml:space="preserve"> día siguiente, a partir de la información histórica. </w:t>
      </w:r>
    </w:p>
    <w:p w:rsidR="008543CC" w:rsidRPr="00C158DD" w:rsidRDefault="00C158DD" w:rsidP="00C158DD">
      <w:pPr>
        <w:pStyle w:val="Prrafodelista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="CharterBT-Roman"/>
          <w:sz w:val="28"/>
          <w:szCs w:val="24"/>
          <w:lang w:eastAsia="en-US" w:bidi="ar-SA"/>
        </w:rPr>
      </w:pPr>
      <w:r w:rsidRPr="00C158DD">
        <w:rPr>
          <w:rFonts w:asciiTheme="minorHAnsi" w:hAnsiTheme="minorHAnsi"/>
          <w:sz w:val="28"/>
          <w:szCs w:val="24"/>
        </w:rPr>
        <w:t>Realizar una visualización de los resultados.</w:t>
      </w:r>
    </w:p>
    <w:sectPr w:rsidR="008543CC" w:rsidRPr="00C158DD">
      <w:footerReference w:type="default" r:id="rId7"/>
      <w:pgSz w:w="11910" w:h="16840"/>
      <w:pgMar w:top="1660" w:right="1680" w:bottom="1000" w:left="1600" w:header="713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FE8" w:rsidRDefault="00AE5FE8">
      <w:r>
        <w:separator/>
      </w:r>
    </w:p>
  </w:endnote>
  <w:endnote w:type="continuationSeparator" w:id="0">
    <w:p w:rsidR="00AE5FE8" w:rsidRDefault="00AE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terBT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3CC" w:rsidRDefault="008543CC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FE8" w:rsidRDefault="00AE5FE8">
      <w:r>
        <w:separator/>
      </w:r>
    </w:p>
  </w:footnote>
  <w:footnote w:type="continuationSeparator" w:id="0">
    <w:p w:rsidR="00AE5FE8" w:rsidRDefault="00AE5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019F8"/>
    <w:multiLevelType w:val="hybridMultilevel"/>
    <w:tmpl w:val="CF58DD3C"/>
    <w:lvl w:ilvl="0" w:tplc="C65C4F6C">
      <w:start w:val="1"/>
      <w:numFmt w:val="decimal"/>
      <w:lvlText w:val="%1."/>
      <w:lvlJc w:val="left"/>
      <w:pPr>
        <w:ind w:left="646" w:hanging="292"/>
        <w:jc w:val="left"/>
      </w:pPr>
      <w:rPr>
        <w:rFonts w:ascii="Georgia" w:eastAsia="Georgia" w:hAnsi="Georgia" w:cs="Georgia" w:hint="default"/>
        <w:w w:val="118"/>
        <w:sz w:val="22"/>
        <w:szCs w:val="22"/>
        <w:lang w:val="es-ES" w:eastAsia="es-ES" w:bidi="es-ES"/>
      </w:rPr>
    </w:lvl>
    <w:lvl w:ilvl="1" w:tplc="486EF3A6">
      <w:numFmt w:val="bullet"/>
      <w:lvlText w:val="•"/>
      <w:lvlJc w:val="left"/>
      <w:pPr>
        <w:ind w:left="1438" w:hanging="292"/>
      </w:pPr>
      <w:rPr>
        <w:rFonts w:hint="default"/>
        <w:lang w:val="es-ES" w:eastAsia="es-ES" w:bidi="es-ES"/>
      </w:rPr>
    </w:lvl>
    <w:lvl w:ilvl="2" w:tplc="DEACF4B0">
      <w:numFmt w:val="bullet"/>
      <w:lvlText w:val="•"/>
      <w:lvlJc w:val="left"/>
      <w:pPr>
        <w:ind w:left="2237" w:hanging="292"/>
      </w:pPr>
      <w:rPr>
        <w:rFonts w:hint="default"/>
        <w:lang w:val="es-ES" w:eastAsia="es-ES" w:bidi="es-ES"/>
      </w:rPr>
    </w:lvl>
    <w:lvl w:ilvl="3" w:tplc="8C5ACA60">
      <w:numFmt w:val="bullet"/>
      <w:lvlText w:val="•"/>
      <w:lvlJc w:val="left"/>
      <w:pPr>
        <w:ind w:left="3035" w:hanging="292"/>
      </w:pPr>
      <w:rPr>
        <w:rFonts w:hint="default"/>
        <w:lang w:val="es-ES" w:eastAsia="es-ES" w:bidi="es-ES"/>
      </w:rPr>
    </w:lvl>
    <w:lvl w:ilvl="4" w:tplc="55FABDE6">
      <w:numFmt w:val="bullet"/>
      <w:lvlText w:val="•"/>
      <w:lvlJc w:val="left"/>
      <w:pPr>
        <w:ind w:left="3834" w:hanging="292"/>
      </w:pPr>
      <w:rPr>
        <w:rFonts w:hint="default"/>
        <w:lang w:val="es-ES" w:eastAsia="es-ES" w:bidi="es-ES"/>
      </w:rPr>
    </w:lvl>
    <w:lvl w:ilvl="5" w:tplc="B7B4117A">
      <w:numFmt w:val="bullet"/>
      <w:lvlText w:val="•"/>
      <w:lvlJc w:val="left"/>
      <w:pPr>
        <w:ind w:left="4632" w:hanging="292"/>
      </w:pPr>
      <w:rPr>
        <w:rFonts w:hint="default"/>
        <w:lang w:val="es-ES" w:eastAsia="es-ES" w:bidi="es-ES"/>
      </w:rPr>
    </w:lvl>
    <w:lvl w:ilvl="6" w:tplc="ED30D218">
      <w:numFmt w:val="bullet"/>
      <w:lvlText w:val="•"/>
      <w:lvlJc w:val="left"/>
      <w:pPr>
        <w:ind w:left="5431" w:hanging="292"/>
      </w:pPr>
      <w:rPr>
        <w:rFonts w:hint="default"/>
        <w:lang w:val="es-ES" w:eastAsia="es-ES" w:bidi="es-ES"/>
      </w:rPr>
    </w:lvl>
    <w:lvl w:ilvl="7" w:tplc="6396F58A">
      <w:numFmt w:val="bullet"/>
      <w:lvlText w:val="•"/>
      <w:lvlJc w:val="left"/>
      <w:pPr>
        <w:ind w:left="6229" w:hanging="292"/>
      </w:pPr>
      <w:rPr>
        <w:rFonts w:hint="default"/>
        <w:lang w:val="es-ES" w:eastAsia="es-ES" w:bidi="es-ES"/>
      </w:rPr>
    </w:lvl>
    <w:lvl w:ilvl="8" w:tplc="4B9636F2">
      <w:numFmt w:val="bullet"/>
      <w:lvlText w:val="•"/>
      <w:lvlJc w:val="left"/>
      <w:pPr>
        <w:ind w:left="7028" w:hanging="292"/>
      </w:pPr>
      <w:rPr>
        <w:rFonts w:hint="default"/>
        <w:lang w:val="es-ES" w:eastAsia="es-ES" w:bidi="es-ES"/>
      </w:rPr>
    </w:lvl>
  </w:abstractNum>
  <w:abstractNum w:abstractNumId="1" w15:restartNumberingAfterBreak="0">
    <w:nsid w:val="1EC92DFB"/>
    <w:multiLevelType w:val="hybridMultilevel"/>
    <w:tmpl w:val="3F12F7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61A69"/>
    <w:multiLevelType w:val="hybridMultilevel"/>
    <w:tmpl w:val="B14EA356"/>
    <w:lvl w:ilvl="0" w:tplc="902EAD9E">
      <w:start w:val="1"/>
      <w:numFmt w:val="decimal"/>
      <w:lvlText w:val="%1."/>
      <w:lvlJc w:val="left"/>
      <w:pPr>
        <w:ind w:left="646" w:hanging="292"/>
        <w:jc w:val="left"/>
      </w:pPr>
      <w:rPr>
        <w:rFonts w:ascii="Georgia" w:eastAsia="Georgia" w:hAnsi="Georgia" w:cs="Georgia" w:hint="default"/>
        <w:w w:val="118"/>
        <w:sz w:val="22"/>
        <w:szCs w:val="22"/>
        <w:lang w:val="es-ES" w:eastAsia="es-ES" w:bidi="es-ES"/>
      </w:rPr>
    </w:lvl>
    <w:lvl w:ilvl="1" w:tplc="1C925D48">
      <w:numFmt w:val="bullet"/>
      <w:lvlText w:val="•"/>
      <w:lvlJc w:val="left"/>
      <w:pPr>
        <w:ind w:left="1438" w:hanging="292"/>
      </w:pPr>
      <w:rPr>
        <w:rFonts w:hint="default"/>
        <w:lang w:val="es-ES" w:eastAsia="es-ES" w:bidi="es-ES"/>
      </w:rPr>
    </w:lvl>
    <w:lvl w:ilvl="2" w:tplc="EC92340A">
      <w:numFmt w:val="bullet"/>
      <w:lvlText w:val="•"/>
      <w:lvlJc w:val="left"/>
      <w:pPr>
        <w:ind w:left="2237" w:hanging="292"/>
      </w:pPr>
      <w:rPr>
        <w:rFonts w:hint="default"/>
        <w:lang w:val="es-ES" w:eastAsia="es-ES" w:bidi="es-ES"/>
      </w:rPr>
    </w:lvl>
    <w:lvl w:ilvl="3" w:tplc="CE38D330">
      <w:numFmt w:val="bullet"/>
      <w:lvlText w:val="•"/>
      <w:lvlJc w:val="left"/>
      <w:pPr>
        <w:ind w:left="3035" w:hanging="292"/>
      </w:pPr>
      <w:rPr>
        <w:rFonts w:hint="default"/>
        <w:lang w:val="es-ES" w:eastAsia="es-ES" w:bidi="es-ES"/>
      </w:rPr>
    </w:lvl>
    <w:lvl w:ilvl="4" w:tplc="8D80EC62">
      <w:numFmt w:val="bullet"/>
      <w:lvlText w:val="•"/>
      <w:lvlJc w:val="left"/>
      <w:pPr>
        <w:ind w:left="3834" w:hanging="292"/>
      </w:pPr>
      <w:rPr>
        <w:rFonts w:hint="default"/>
        <w:lang w:val="es-ES" w:eastAsia="es-ES" w:bidi="es-ES"/>
      </w:rPr>
    </w:lvl>
    <w:lvl w:ilvl="5" w:tplc="E9DE66EA">
      <w:numFmt w:val="bullet"/>
      <w:lvlText w:val="•"/>
      <w:lvlJc w:val="left"/>
      <w:pPr>
        <w:ind w:left="4632" w:hanging="292"/>
      </w:pPr>
      <w:rPr>
        <w:rFonts w:hint="default"/>
        <w:lang w:val="es-ES" w:eastAsia="es-ES" w:bidi="es-ES"/>
      </w:rPr>
    </w:lvl>
    <w:lvl w:ilvl="6" w:tplc="A152612E">
      <w:numFmt w:val="bullet"/>
      <w:lvlText w:val="•"/>
      <w:lvlJc w:val="left"/>
      <w:pPr>
        <w:ind w:left="5431" w:hanging="292"/>
      </w:pPr>
      <w:rPr>
        <w:rFonts w:hint="default"/>
        <w:lang w:val="es-ES" w:eastAsia="es-ES" w:bidi="es-ES"/>
      </w:rPr>
    </w:lvl>
    <w:lvl w:ilvl="7" w:tplc="B96C08D2">
      <w:numFmt w:val="bullet"/>
      <w:lvlText w:val="•"/>
      <w:lvlJc w:val="left"/>
      <w:pPr>
        <w:ind w:left="6229" w:hanging="292"/>
      </w:pPr>
      <w:rPr>
        <w:rFonts w:hint="default"/>
        <w:lang w:val="es-ES" w:eastAsia="es-ES" w:bidi="es-ES"/>
      </w:rPr>
    </w:lvl>
    <w:lvl w:ilvl="8" w:tplc="ACC81AA2">
      <w:numFmt w:val="bullet"/>
      <w:lvlText w:val="•"/>
      <w:lvlJc w:val="left"/>
      <w:pPr>
        <w:ind w:left="7028" w:hanging="292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3CC"/>
    <w:rsid w:val="008543CC"/>
    <w:rsid w:val="00AE5FE8"/>
    <w:rsid w:val="00C1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67416"/>
  <w15:docId w15:val="{225481B1-52C4-4EF1-AEAC-D13FB7AF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Century Gothic" w:eastAsia="Century Gothic" w:hAnsi="Century Gothic" w:cs="Century Gothic"/>
      <w:sz w:val="29"/>
      <w:szCs w:val="29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646" w:right="160" w:hanging="29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158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58DD"/>
    <w:rPr>
      <w:rFonts w:ascii="Georgia" w:eastAsia="Georgia" w:hAnsi="Georgia" w:cs="Georg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158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8DD"/>
    <w:rPr>
      <w:rFonts w:ascii="Georgia" w:eastAsia="Georgia" w:hAnsi="Georgia" w:cs="Georg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N</cp:lastModifiedBy>
  <cp:revision>2</cp:revision>
  <dcterms:created xsi:type="dcterms:W3CDTF">2019-07-18T14:23:00Z</dcterms:created>
  <dcterms:modified xsi:type="dcterms:W3CDTF">2019-07-18T14:33:00Z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2019-07-18T00:00:00Z</vt:filetime>
  </property>
</Properties>
</file>