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12 May 2026</w:t>
      </w:r>
    </w:p>
    <w:p>
      <w:pPr/>
      <w:r>
        <w:t>Dear Editors of Nature,</w:t>
      </w:r>
    </w:p>
    <w:p>
      <w:pPr/>
      <w:r>
        <w:t>Please consider our manuscript, “Wildfire health research fails to protect vulnerable populations,” for publication as an Article in Nature.</w:t>
      </w:r>
    </w:p>
    <w:p>
      <w:pPr/>
      <w:r>
        <w:t>Wildfire is increasingly recognized as a climate and public-health emergency, yet the evidence base used to guide protection and adaptation has not itself been examined at scale. In this study, we use a validated large language model pipeline to extract structured outcome, population, geographic and causal-pathway data from 1,999 wildfire-related papers published between 2000 and 2024. This allows us to ask a broad but policy-relevant question: does wildfire health research reflect the populations, outcomes and geographies at greatest risk?</w:t>
      </w:r>
    </w:p>
    <w:p>
      <w:pPr/>
      <w:r>
        <w:t>We find that the field is organized around a narrow evidentiary core. Respiratory outcomes and PM2.5-mediated pathways dominate the literature, whereas reproductive and neurological outcomes remain sparsely studied despite high public-health relevance. Vulnerable populations are also unevenly represented: unhoused people, Indigenous communities and pregnant women are consistently under-studied. At the global scale, research output is heavily concentrated in a small set of high-income countries, particularly the United States, whereas many fire-prone countries have little or no identified health evidence. Finally, although social determinants are frequently acknowledged in the literature, they are largely absent from the causal knowledge network that structures quantitative evidence.</w:t>
      </w:r>
    </w:p>
    <w:p>
      <w:pPr/>
      <w:r>
        <w:t>We believe the manuscript is well suited to Nature because its contribution extends beyond wildfire science or environmental epidemiology alone. The work speaks to climate change, public health, global inequity, research infrastructure, and the emerging use of language models for scientific synthesis. More broadly, it provides a reproducible framework for auditing whether research systems are aligned with real-world risk, and it identifies where current evidence is least able to support protection of the populations most at risk.</w:t>
      </w:r>
    </w:p>
    <w:p>
      <w:pPr/>
      <w:r>
        <w:t>We expect the manuscript to be of interest to readers in climate science, environmental health, epidemiology, global health, science policy and computational social science.</w:t>
      </w:r>
    </w:p>
    <w:p>
      <w:pPr/>
      <w:r>
        <w:t>Thank you for your consideration.</w:t>
      </w:r>
    </w:p>
    <w:p>
      <w:pPr/>
      <w:r>
        <w:t>Sincerely,</w:t>
      </w:r>
    </w:p>
    <w:p>
      <w:pPr/>
      <w:r>
        <w:t>Wenhuan Xu</w:t>
        <w:br/>
        <w:t>on behalf of all authors</w:t>
      </w:r>
    </w:p>
    <w:p>
      <w:pPr/>
      <w:r>
        <w:t>Correspondence: huannyling@gmail.com; guangyu.wang@ubc.ca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