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C39C7">
      <w:pPr>
        <w:pStyle w:val="2"/>
        <w:bidi w:val="0"/>
        <w:jc w:val="center"/>
        <w:rPr>
          <w:rFonts w:hint="eastAsia"/>
        </w:rPr>
      </w:pPr>
    </w:p>
    <w:tbl>
      <w:tblPr>
        <w:tblStyle w:val="6"/>
        <w:tblpPr w:leftFromText="180" w:rightFromText="180" w:vertAnchor="page" w:horzAnchor="page" w:tblpX="1496" w:tblpY="1430"/>
        <w:tblOverlap w:val="never"/>
        <w:tblW w:w="91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3016"/>
        <w:gridCol w:w="284"/>
        <w:gridCol w:w="3080"/>
        <w:gridCol w:w="1514"/>
      </w:tblGrid>
      <w:tr w14:paraId="1D68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trPr>
        <w:tc>
          <w:tcPr>
            <w:tcW w:w="9135" w:type="dxa"/>
            <w:gridSpan w:val="5"/>
            <w:tcBorders>
              <w:bottom w:val="nil"/>
            </w:tcBorders>
          </w:tcPr>
          <w:p w14:paraId="1DAAC8FB">
            <w:pPr>
              <w:pStyle w:val="2"/>
              <w:bidi w:val="0"/>
              <w:jc w:val="center"/>
              <w:rPr>
                <w:rFonts w:hint="eastAsia"/>
              </w:rPr>
            </w:pPr>
          </w:p>
          <w:p w14:paraId="5B1C5C80">
            <w:pPr>
              <w:pStyle w:val="2"/>
              <w:bidi w:val="0"/>
              <w:jc w:val="center"/>
              <w:rPr>
                <w:rFonts w:hint="eastAsia"/>
              </w:rPr>
            </w:pPr>
          </w:p>
          <w:p w14:paraId="12C42CD3">
            <w:pPr>
              <w:pStyle w:val="2"/>
              <w:bidi w:val="0"/>
              <w:jc w:val="center"/>
              <w:rPr>
                <w:rFonts w:hint="eastAsia"/>
              </w:rPr>
            </w:pPr>
            <w:r>
              <w:rPr>
                <w:rFonts w:hint="eastAsia"/>
              </w:rPr>
              <w:t>中国公共交通无障碍设施‘数据矛盾’分析与改进建议</w:t>
            </w:r>
          </w:p>
          <w:p w14:paraId="03677227">
            <w:pPr>
              <w:rPr>
                <w:rFonts w:hint="eastAsia"/>
              </w:rPr>
            </w:pPr>
          </w:p>
          <w:p w14:paraId="2D628F1E">
            <w:pPr>
              <w:rPr>
                <w:rFonts w:hint="eastAsia"/>
              </w:rPr>
            </w:pPr>
          </w:p>
          <w:p w14:paraId="4D1B26F6">
            <w:pPr>
              <w:rPr>
                <w:rFonts w:hint="eastAsia"/>
              </w:rPr>
            </w:pPr>
          </w:p>
          <w:p w14:paraId="3BDE526E">
            <w:pPr>
              <w:pStyle w:val="13"/>
            </w:pPr>
          </w:p>
        </w:tc>
      </w:tr>
      <w:tr w14:paraId="5950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trPr>
        <w:tc>
          <w:tcPr>
            <w:tcW w:w="1241" w:type="dxa"/>
            <w:vMerge w:val="restart"/>
            <w:tcBorders>
              <w:top w:val="nil"/>
              <w:bottom w:val="nil"/>
              <w:right w:val="nil"/>
            </w:tcBorders>
            <w:vAlign w:val="center"/>
          </w:tcPr>
          <w:p w14:paraId="287337A5">
            <w:pPr>
              <w:adjustRightInd w:val="0"/>
              <w:snapToGrid w:val="0"/>
              <w:rPr>
                <w:rFonts w:hint="eastAsia" w:eastAsia="楷体_GB2312"/>
                <w:color w:val="000000"/>
                <w:sz w:val="52"/>
              </w:rPr>
            </w:pPr>
          </w:p>
        </w:tc>
        <w:tc>
          <w:tcPr>
            <w:tcW w:w="3016" w:type="dxa"/>
            <w:tcBorders>
              <w:top w:val="nil"/>
              <w:left w:val="nil"/>
              <w:bottom w:val="nil"/>
              <w:right w:val="nil"/>
            </w:tcBorders>
            <w:vAlign w:val="center"/>
          </w:tcPr>
          <w:p w14:paraId="4DB58EA4">
            <w:pPr>
              <w:pStyle w:val="15"/>
              <w:ind w:firstLine="0" w:firstLineChars="0"/>
            </w:pPr>
            <w:r>
              <w:rPr>
                <w:rFonts w:hint="eastAsia"/>
              </w:rPr>
              <w:t xml:space="preserve">姓  </w:t>
            </w:r>
            <w:r>
              <w:rPr>
                <w:rFonts w:hint="eastAsia"/>
                <w:lang w:val="en-US" w:eastAsia="zh-CN"/>
              </w:rPr>
              <w:t xml:space="preserve">            </w:t>
            </w:r>
            <w:r>
              <w:rPr>
                <w:rFonts w:hint="eastAsia"/>
              </w:rPr>
              <w:t>名：</w:t>
            </w:r>
          </w:p>
        </w:tc>
        <w:tc>
          <w:tcPr>
            <w:tcW w:w="284" w:type="dxa"/>
            <w:tcBorders>
              <w:top w:val="nil"/>
              <w:left w:val="nil"/>
              <w:bottom w:val="nil"/>
              <w:right w:val="nil"/>
            </w:tcBorders>
            <w:vAlign w:val="center"/>
          </w:tcPr>
          <w:p w14:paraId="4B21E5E0">
            <w:pPr>
              <w:pStyle w:val="15"/>
              <w:ind w:firstLine="1960"/>
            </w:pPr>
            <w:r>
              <w:rPr>
                <w:rFonts w:hint="eastAsia"/>
              </w:rPr>
              <w:t>：</w:t>
            </w:r>
          </w:p>
        </w:tc>
        <w:tc>
          <w:tcPr>
            <w:tcW w:w="3080" w:type="dxa"/>
            <w:tcBorders>
              <w:top w:val="nil"/>
              <w:left w:val="nil"/>
              <w:bottom w:val="nil"/>
              <w:right w:val="nil"/>
            </w:tcBorders>
            <w:vAlign w:val="center"/>
          </w:tcPr>
          <w:p w14:paraId="3EE52531">
            <w:pPr>
              <w:pStyle w:val="15"/>
              <w:ind w:firstLine="0" w:firstLineChars="0"/>
              <w:rPr>
                <w:spacing w:val="20"/>
              </w:rPr>
            </w:pPr>
            <w:r>
              <w:rPr>
                <w:spacing w:val="20"/>
              </w:rPr>
              <w:t xml:space="preserve">    </w:t>
            </w:r>
            <w:r>
              <w:rPr>
                <w:rFonts w:hint="eastAsia"/>
                <w:spacing w:val="20"/>
                <w:lang w:val="en-US" w:eastAsia="zh-CN"/>
              </w:rPr>
              <w:t xml:space="preserve">  王焕</w:t>
            </w:r>
            <w:r>
              <w:rPr>
                <w:spacing w:val="20"/>
              </w:rPr>
              <w:t xml:space="preserve"> </w:t>
            </w:r>
          </w:p>
        </w:tc>
        <w:tc>
          <w:tcPr>
            <w:tcW w:w="1514" w:type="dxa"/>
            <w:vMerge w:val="restart"/>
            <w:tcBorders>
              <w:top w:val="nil"/>
              <w:left w:val="nil"/>
              <w:bottom w:val="nil"/>
            </w:tcBorders>
            <w:vAlign w:val="center"/>
          </w:tcPr>
          <w:p w14:paraId="71C95787">
            <w:pPr>
              <w:adjustRightInd w:val="0"/>
              <w:snapToGrid w:val="0"/>
              <w:rPr>
                <w:rFonts w:hint="eastAsia" w:eastAsia="楷体_GB2312"/>
                <w:color w:val="000000"/>
                <w:sz w:val="52"/>
              </w:rPr>
            </w:pPr>
          </w:p>
        </w:tc>
      </w:tr>
      <w:tr w14:paraId="1ED3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trPr>
        <w:tc>
          <w:tcPr>
            <w:tcW w:w="1241" w:type="dxa"/>
            <w:vMerge w:val="continue"/>
            <w:tcBorders>
              <w:top w:val="nil"/>
              <w:bottom w:val="nil"/>
              <w:right w:val="nil"/>
            </w:tcBorders>
            <w:vAlign w:val="center"/>
          </w:tcPr>
          <w:p w14:paraId="50DAAA0B">
            <w:pPr>
              <w:widowControl/>
              <w:jc w:val="left"/>
              <w:rPr>
                <w:rFonts w:eastAsia="楷体_GB2312"/>
                <w:color w:val="000000"/>
                <w:sz w:val="52"/>
              </w:rPr>
            </w:pPr>
          </w:p>
        </w:tc>
        <w:tc>
          <w:tcPr>
            <w:tcW w:w="3016" w:type="dxa"/>
            <w:tcBorders>
              <w:top w:val="nil"/>
              <w:left w:val="nil"/>
              <w:bottom w:val="nil"/>
              <w:right w:val="nil"/>
            </w:tcBorders>
            <w:vAlign w:val="center"/>
          </w:tcPr>
          <w:p w14:paraId="348D03CB">
            <w:pPr>
              <w:pStyle w:val="15"/>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620B4D8">
            <w:pPr>
              <w:pStyle w:val="15"/>
              <w:ind w:firstLine="1960"/>
            </w:pPr>
            <w:r>
              <w:rPr>
                <w:rFonts w:hint="eastAsia"/>
              </w:rPr>
              <w:t>：</w:t>
            </w:r>
          </w:p>
        </w:tc>
        <w:tc>
          <w:tcPr>
            <w:tcW w:w="3080" w:type="dxa"/>
            <w:tcBorders>
              <w:top w:val="nil"/>
              <w:left w:val="nil"/>
              <w:bottom w:val="nil"/>
              <w:right w:val="nil"/>
            </w:tcBorders>
            <w:vAlign w:val="center"/>
          </w:tcPr>
          <w:p w14:paraId="5A6B4693">
            <w:pPr>
              <w:pStyle w:val="15"/>
              <w:ind w:firstLine="560" w:firstLineChars="200"/>
              <w:rPr>
                <w:rFonts w:hint="default" w:eastAsia="宋体"/>
                <w:lang w:val="en-US" w:eastAsia="zh-CN"/>
              </w:rPr>
            </w:pPr>
            <w:r>
              <w:rPr>
                <w:rFonts w:hint="eastAsia"/>
                <w:lang w:val="en-US" w:eastAsia="zh-CN"/>
              </w:rPr>
              <w:t>2023302071031</w:t>
            </w:r>
          </w:p>
        </w:tc>
        <w:tc>
          <w:tcPr>
            <w:tcW w:w="1514" w:type="dxa"/>
            <w:vMerge w:val="continue"/>
            <w:tcBorders>
              <w:top w:val="nil"/>
              <w:left w:val="nil"/>
              <w:bottom w:val="nil"/>
            </w:tcBorders>
            <w:vAlign w:val="center"/>
          </w:tcPr>
          <w:p w14:paraId="229B0AD3">
            <w:pPr>
              <w:widowControl/>
              <w:jc w:val="distribute"/>
              <w:rPr>
                <w:rFonts w:eastAsia="楷体_GB2312"/>
                <w:color w:val="000000"/>
                <w:sz w:val="52"/>
              </w:rPr>
            </w:pPr>
          </w:p>
        </w:tc>
      </w:tr>
      <w:tr w14:paraId="3765E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trPr>
        <w:tc>
          <w:tcPr>
            <w:tcW w:w="1241" w:type="dxa"/>
            <w:vMerge w:val="continue"/>
            <w:tcBorders>
              <w:top w:val="nil"/>
              <w:bottom w:val="nil"/>
              <w:right w:val="nil"/>
            </w:tcBorders>
            <w:vAlign w:val="center"/>
          </w:tcPr>
          <w:p w14:paraId="334CE938">
            <w:pPr>
              <w:widowControl/>
              <w:jc w:val="left"/>
              <w:rPr>
                <w:rFonts w:eastAsia="楷体_GB2312"/>
                <w:color w:val="000000"/>
                <w:sz w:val="52"/>
              </w:rPr>
            </w:pPr>
          </w:p>
        </w:tc>
        <w:tc>
          <w:tcPr>
            <w:tcW w:w="3016" w:type="dxa"/>
            <w:tcBorders>
              <w:top w:val="nil"/>
              <w:left w:val="nil"/>
              <w:bottom w:val="nil"/>
              <w:right w:val="nil"/>
            </w:tcBorders>
            <w:vAlign w:val="center"/>
          </w:tcPr>
          <w:p w14:paraId="0615E133">
            <w:pPr>
              <w:pStyle w:val="15"/>
              <w:ind w:firstLine="0" w:firstLineChars="0"/>
            </w:pPr>
            <w:r>
              <w:rPr>
                <w:rFonts w:hint="eastAsia"/>
              </w:rPr>
              <w:t>教</w:t>
            </w:r>
            <w:r>
              <w:rPr>
                <w:rFonts w:hint="eastAsia"/>
                <w:lang w:val="en-US" w:eastAsia="zh-CN"/>
              </w:rPr>
              <w:t xml:space="preserve">   </w:t>
            </w:r>
            <w:r>
              <w:rPr>
                <w:rFonts w:hint="eastAsia"/>
              </w:rPr>
              <w:t>师</w:t>
            </w:r>
            <w:r>
              <w:rPr>
                <w:rFonts w:hint="eastAsia"/>
                <w:lang w:val="en-US" w:eastAsia="zh-CN"/>
              </w:rPr>
              <w:t xml:space="preserve">   </w:t>
            </w:r>
            <w:r>
              <w:rPr>
                <w:rFonts w:hint="eastAsia"/>
              </w:rPr>
              <w:t>姓</w:t>
            </w:r>
            <w:r>
              <w:rPr>
                <w:rFonts w:hint="eastAsia"/>
                <w:lang w:val="en-US" w:eastAsia="zh-CN"/>
              </w:rPr>
              <w:t xml:space="preserve">  名  </w:t>
            </w:r>
            <w:r>
              <w:rPr>
                <w:rFonts w:hint="eastAsia"/>
              </w:rPr>
              <w:t>：</w:t>
            </w:r>
          </w:p>
        </w:tc>
        <w:tc>
          <w:tcPr>
            <w:tcW w:w="284" w:type="dxa"/>
            <w:tcBorders>
              <w:top w:val="nil"/>
              <w:left w:val="nil"/>
              <w:bottom w:val="nil"/>
              <w:right w:val="nil"/>
            </w:tcBorders>
            <w:vAlign w:val="center"/>
          </w:tcPr>
          <w:p w14:paraId="614B945B">
            <w:pPr>
              <w:pStyle w:val="15"/>
              <w:ind w:firstLine="1960"/>
            </w:pPr>
            <w:r>
              <w:rPr>
                <w:rFonts w:hint="eastAsia"/>
              </w:rPr>
              <w:t>：</w:t>
            </w:r>
          </w:p>
        </w:tc>
        <w:tc>
          <w:tcPr>
            <w:tcW w:w="3080" w:type="dxa"/>
            <w:tcBorders>
              <w:top w:val="nil"/>
              <w:left w:val="nil"/>
              <w:bottom w:val="nil"/>
              <w:right w:val="nil"/>
            </w:tcBorders>
            <w:vAlign w:val="center"/>
          </w:tcPr>
          <w:p w14:paraId="2373F848">
            <w:pPr>
              <w:pStyle w:val="15"/>
              <w:ind w:firstLine="0" w:firstLineChars="0"/>
              <w:rPr>
                <w:rFonts w:hint="default" w:eastAsia="宋体"/>
                <w:lang w:val="en-US" w:eastAsia="zh-CN"/>
              </w:rPr>
            </w:pPr>
            <w:r>
              <w:rPr>
                <w:rFonts w:hint="eastAsia"/>
                <w:lang w:val="en-US" w:eastAsia="zh-CN"/>
              </w:rPr>
              <w:t xml:space="preserve">        汪润</w:t>
            </w:r>
          </w:p>
        </w:tc>
        <w:tc>
          <w:tcPr>
            <w:tcW w:w="1514" w:type="dxa"/>
            <w:vMerge w:val="continue"/>
            <w:tcBorders>
              <w:top w:val="nil"/>
              <w:left w:val="nil"/>
              <w:bottom w:val="nil"/>
            </w:tcBorders>
            <w:vAlign w:val="center"/>
          </w:tcPr>
          <w:p w14:paraId="4B6B9ECC">
            <w:pPr>
              <w:widowControl/>
              <w:jc w:val="distribute"/>
              <w:rPr>
                <w:rFonts w:eastAsia="楷体_GB2312"/>
                <w:color w:val="000000"/>
                <w:sz w:val="52"/>
              </w:rPr>
            </w:pPr>
          </w:p>
        </w:tc>
      </w:tr>
      <w:tr w14:paraId="54A2B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trPr>
        <w:tc>
          <w:tcPr>
            <w:tcW w:w="1241" w:type="dxa"/>
            <w:vMerge w:val="continue"/>
            <w:tcBorders>
              <w:top w:val="nil"/>
              <w:bottom w:val="nil"/>
              <w:right w:val="nil"/>
            </w:tcBorders>
            <w:vAlign w:val="center"/>
          </w:tcPr>
          <w:p w14:paraId="119BAE4C">
            <w:pPr>
              <w:widowControl/>
              <w:jc w:val="left"/>
              <w:rPr>
                <w:rFonts w:eastAsia="楷体_GB2312"/>
                <w:color w:val="000000"/>
                <w:sz w:val="52"/>
              </w:rPr>
            </w:pPr>
          </w:p>
        </w:tc>
        <w:tc>
          <w:tcPr>
            <w:tcW w:w="3016" w:type="dxa"/>
            <w:tcBorders>
              <w:top w:val="nil"/>
              <w:left w:val="nil"/>
              <w:bottom w:val="nil"/>
              <w:right w:val="nil"/>
            </w:tcBorders>
            <w:vAlign w:val="center"/>
          </w:tcPr>
          <w:p w14:paraId="28D36EDC">
            <w:pPr>
              <w:pStyle w:val="15"/>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5BD99C30">
            <w:pPr>
              <w:pStyle w:val="15"/>
              <w:ind w:firstLine="1960"/>
            </w:pPr>
            <w:r>
              <w:rPr>
                <w:rFonts w:hint="eastAsia"/>
              </w:rPr>
              <w:t>：</w:t>
            </w:r>
          </w:p>
        </w:tc>
        <w:tc>
          <w:tcPr>
            <w:tcW w:w="3080" w:type="dxa"/>
            <w:tcBorders>
              <w:top w:val="nil"/>
              <w:left w:val="nil"/>
              <w:bottom w:val="nil"/>
              <w:right w:val="nil"/>
            </w:tcBorders>
            <w:vAlign w:val="center"/>
          </w:tcPr>
          <w:p w14:paraId="4C655002">
            <w:pPr>
              <w:pStyle w:val="15"/>
              <w:ind w:firstLine="0" w:firstLineChars="0"/>
              <w:rPr>
                <w:rFonts w:hint="default" w:eastAsia="宋体"/>
                <w:lang w:val="en-US" w:eastAsia="zh-CN"/>
              </w:rPr>
            </w:pPr>
            <w:r>
              <w:rPr>
                <w:rFonts w:hint="eastAsia"/>
                <w:lang w:val="en-US" w:eastAsia="zh-CN"/>
              </w:rPr>
              <w:t xml:space="preserve">     网络空间安全</w:t>
            </w:r>
          </w:p>
        </w:tc>
        <w:tc>
          <w:tcPr>
            <w:tcW w:w="1514" w:type="dxa"/>
            <w:vMerge w:val="continue"/>
            <w:tcBorders>
              <w:top w:val="nil"/>
              <w:left w:val="nil"/>
              <w:bottom w:val="nil"/>
            </w:tcBorders>
            <w:vAlign w:val="center"/>
          </w:tcPr>
          <w:p w14:paraId="7265F285">
            <w:pPr>
              <w:widowControl/>
              <w:jc w:val="distribute"/>
              <w:rPr>
                <w:rFonts w:eastAsia="楷体_GB2312"/>
                <w:color w:val="000000"/>
                <w:sz w:val="52"/>
              </w:rPr>
            </w:pPr>
          </w:p>
        </w:tc>
      </w:tr>
      <w:tr w14:paraId="10C21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trPr>
        <w:tc>
          <w:tcPr>
            <w:tcW w:w="1241" w:type="dxa"/>
            <w:vMerge w:val="continue"/>
            <w:tcBorders>
              <w:top w:val="nil"/>
              <w:bottom w:val="nil"/>
              <w:right w:val="nil"/>
            </w:tcBorders>
            <w:vAlign w:val="center"/>
          </w:tcPr>
          <w:p w14:paraId="74296FF9">
            <w:pPr>
              <w:widowControl/>
              <w:jc w:val="left"/>
              <w:rPr>
                <w:rFonts w:eastAsia="楷体_GB2312"/>
                <w:color w:val="000000"/>
                <w:sz w:val="52"/>
              </w:rPr>
            </w:pPr>
          </w:p>
        </w:tc>
        <w:tc>
          <w:tcPr>
            <w:tcW w:w="3016" w:type="dxa"/>
            <w:tcBorders>
              <w:top w:val="nil"/>
              <w:left w:val="nil"/>
              <w:bottom w:val="nil"/>
              <w:right w:val="nil"/>
            </w:tcBorders>
            <w:vAlign w:val="center"/>
          </w:tcPr>
          <w:p w14:paraId="76C14997">
            <w:pPr>
              <w:pStyle w:val="15"/>
              <w:ind w:firstLine="0" w:firstLineChars="0"/>
            </w:pPr>
            <w:r>
              <w:rPr>
                <w:rFonts w:hint="eastAsia"/>
                <w:lang w:val="en-US" w:eastAsia="zh-CN"/>
              </w:rPr>
              <w:t>课    程    名</w:t>
            </w:r>
            <w:r>
              <w:rPr>
                <w:rFonts w:hint="eastAsia"/>
              </w:rPr>
              <w:t xml:space="preserve">  </w:t>
            </w:r>
            <w:r>
              <w:t xml:space="preserve"> </w:t>
            </w:r>
            <w:r>
              <w:rPr>
                <w:rFonts w:hint="eastAsia"/>
              </w:rPr>
              <w:t xml:space="preserve"> ：</w:t>
            </w:r>
          </w:p>
        </w:tc>
        <w:tc>
          <w:tcPr>
            <w:tcW w:w="284" w:type="dxa"/>
            <w:tcBorders>
              <w:top w:val="nil"/>
              <w:left w:val="nil"/>
              <w:bottom w:val="nil"/>
              <w:right w:val="nil"/>
            </w:tcBorders>
            <w:vAlign w:val="center"/>
          </w:tcPr>
          <w:p w14:paraId="1D3B213C">
            <w:pPr>
              <w:pStyle w:val="15"/>
              <w:ind w:firstLine="1960"/>
            </w:pPr>
            <w:r>
              <w:rPr>
                <w:rFonts w:hint="eastAsia"/>
              </w:rPr>
              <w:t>：</w:t>
            </w:r>
          </w:p>
        </w:tc>
        <w:tc>
          <w:tcPr>
            <w:tcW w:w="3080" w:type="dxa"/>
            <w:tcBorders>
              <w:top w:val="nil"/>
              <w:left w:val="nil"/>
              <w:bottom w:val="nil"/>
              <w:right w:val="nil"/>
            </w:tcBorders>
            <w:vAlign w:val="center"/>
          </w:tcPr>
          <w:p w14:paraId="5FD60331">
            <w:pPr>
              <w:pStyle w:val="15"/>
              <w:ind w:left="0" w:leftChars="0" w:firstLine="560" w:firstLineChars="200"/>
              <w:rPr>
                <w:rFonts w:hint="default" w:eastAsia="宋体"/>
                <w:lang w:val="en-US" w:eastAsia="zh-CN"/>
              </w:rPr>
            </w:pPr>
            <w:r>
              <w:rPr>
                <w:rFonts w:hint="eastAsia"/>
                <w:lang w:val="en-US" w:eastAsia="zh-CN"/>
              </w:rPr>
              <w:t>新闻安全分析</w:t>
            </w:r>
          </w:p>
        </w:tc>
        <w:tc>
          <w:tcPr>
            <w:tcW w:w="1514" w:type="dxa"/>
            <w:vMerge w:val="continue"/>
            <w:tcBorders>
              <w:top w:val="nil"/>
              <w:left w:val="nil"/>
              <w:bottom w:val="nil"/>
            </w:tcBorders>
            <w:vAlign w:val="center"/>
          </w:tcPr>
          <w:p w14:paraId="5B0398E9">
            <w:pPr>
              <w:widowControl/>
              <w:jc w:val="distribute"/>
              <w:rPr>
                <w:rFonts w:eastAsia="楷体_GB2312"/>
                <w:color w:val="000000"/>
                <w:sz w:val="52"/>
              </w:rPr>
            </w:pPr>
          </w:p>
        </w:tc>
      </w:tr>
      <w:tr w14:paraId="0C26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trPr>
        <w:tc>
          <w:tcPr>
            <w:tcW w:w="9135" w:type="dxa"/>
            <w:gridSpan w:val="5"/>
            <w:tcBorders>
              <w:top w:val="nil"/>
            </w:tcBorders>
          </w:tcPr>
          <w:p w14:paraId="6F6F88D7">
            <w:pPr>
              <w:pStyle w:val="12"/>
              <w:jc w:val="both"/>
            </w:pPr>
          </w:p>
          <w:p w14:paraId="54C94672">
            <w:pPr>
              <w:pStyle w:val="12"/>
              <w:jc w:val="both"/>
            </w:pPr>
          </w:p>
          <w:p w14:paraId="4839A878">
            <w:pPr>
              <w:pStyle w:val="12"/>
              <w:jc w:val="both"/>
            </w:pPr>
          </w:p>
          <w:p w14:paraId="5AEAC1D0">
            <w:pPr>
              <w:pStyle w:val="12"/>
              <w:jc w:val="both"/>
            </w:pPr>
          </w:p>
          <w:p w14:paraId="74DAAFF4">
            <w:pPr>
              <w:pStyle w:val="12"/>
            </w:pPr>
            <w:r>
              <w:rPr>
                <w:rFonts w:hint="eastAsia"/>
              </w:rPr>
              <w:t>二〇</w:t>
            </w:r>
            <w:r>
              <w:rPr>
                <w:rFonts w:hint="eastAsia"/>
                <w:lang w:val="en-US" w:eastAsia="zh-CN"/>
              </w:rPr>
              <w:t>二五</w:t>
            </w:r>
            <w:r>
              <w:rPr>
                <w:rFonts w:hint="eastAsia"/>
              </w:rPr>
              <w:t xml:space="preserve">年 </w:t>
            </w:r>
            <w:r>
              <w:rPr>
                <w:rFonts w:hint="eastAsia"/>
                <w:lang w:val="en-US" w:eastAsia="zh-CN"/>
              </w:rPr>
              <w:t>十二</w:t>
            </w:r>
            <w:r>
              <w:t xml:space="preserve"> </w:t>
            </w:r>
            <w:r>
              <w:rPr>
                <w:rFonts w:hint="eastAsia"/>
              </w:rPr>
              <w:t>月</w:t>
            </w:r>
          </w:p>
        </w:tc>
      </w:tr>
    </w:tbl>
    <w:p w14:paraId="5C0616F0">
      <w:pPr>
        <w:bidi w:val="0"/>
        <w:rPr>
          <w:rFonts w:hint="eastAsia"/>
        </w:rPr>
        <w:sectPr>
          <w:pgSz w:w="11906" w:h="16838"/>
          <w:pgMar w:top="1440" w:right="1800" w:bottom="1440" w:left="1800" w:header="851" w:footer="992" w:gutter="0"/>
          <w:cols w:space="425" w:num="1"/>
          <w:docGrid w:type="lines" w:linePitch="312" w:charSpace="0"/>
        </w:sectPr>
      </w:pPr>
    </w:p>
    <w:p w14:paraId="34CDC0BD">
      <w:pPr>
        <w:numPr>
          <w:ilvl w:val="0"/>
          <w:numId w:val="0"/>
        </w:numPr>
        <w:rPr>
          <w:rFonts w:hint="default"/>
          <w:b/>
          <w:bCs/>
          <w:lang w:val="en-US" w:eastAsia="zh-CN"/>
        </w:rPr>
      </w:pPr>
      <w:r>
        <w:rPr>
          <w:rFonts w:hint="eastAsia"/>
          <w:b/>
          <w:bCs/>
          <w:lang w:val="en-US" w:eastAsia="zh-CN"/>
        </w:rPr>
        <w:t>引言</w:t>
      </w:r>
    </w:p>
    <w:p w14:paraId="62C3AE68">
      <w:pPr>
        <w:numPr>
          <w:ilvl w:val="0"/>
          <w:numId w:val="0"/>
        </w:numPr>
        <w:ind w:firstLine="480" w:firstLineChars="200"/>
        <w:rPr>
          <w:rFonts w:hint="eastAsia"/>
          <w:lang w:val="en-US" w:eastAsia="zh-CN"/>
        </w:rPr>
      </w:pPr>
      <w:r>
        <w:rPr>
          <w:rFonts w:hint="eastAsia"/>
          <w:lang w:val="en-US" w:eastAsia="zh-CN"/>
        </w:rPr>
        <w:t xml:space="preserve">2025年10月，深圳机场和香港艺人郑智化的矛盾引爆网络：10月25日，郑智化在深圳机场登机时，因升降车与机舱门存在25厘米高度差，导致轮椅无法直接推入，最终“连滚带爬”进入机舱。他随后在社交平台发文批评机场对残疾人的态度“没人性”，引发舆论热议，后郑智化道歉称用词不当，深圳机场发布视频回应，民航局介入整改。这重新引起了大众对无障碍基础设施的关注。以此事件为基础，我对此进行分析，它自带三个可被数据解答的核心疑问：第一，历史数据验证维度，这个“高度差争议”是个例，还是长期存在的系统性问题？  第二，现状数据支撑维度，我国无障碍设施“覆盖率提升”与“用户满意度”的矛盾，背后有哪些数据可量化的差距？ 第三，对比数据参照维度，国际上类似问题是如何通过设施、服务优化解决的？  </w:t>
      </w:r>
    </w:p>
    <w:p w14:paraId="30E7BAED">
      <w:pPr>
        <w:numPr>
          <w:ilvl w:val="0"/>
          <w:numId w:val="0"/>
        </w:numPr>
        <w:ind w:firstLine="420" w:firstLineChars="0"/>
        <w:rPr>
          <w:rFonts w:hint="eastAsia"/>
          <w:lang w:val="en-US" w:eastAsia="zh-CN"/>
        </w:rPr>
      </w:pPr>
      <w:r>
        <w:rPr>
          <w:rFonts w:hint="eastAsia"/>
          <w:lang w:val="en-US" w:eastAsia="zh-CN"/>
        </w:rPr>
        <w:t>本研究的思路正是围绕上述三个疑问展开：首先，通过纵向历史维度梳理政策演进与设施变迁，验证“高度差争议”的系统性根源；其次，横向现状维度量化覆盖率与满意度的差距，揭示数据矛盾；最后，国际对比维度借鉴经验，提供改进路径。整体上，采用数据新闻的叙事框架，以事件为“钩子”，数据为“骨架”，图表为“可视化表达”。</w:t>
      </w:r>
    </w:p>
    <w:p w14:paraId="7808F86A">
      <w:pPr>
        <w:numPr>
          <w:ilvl w:val="0"/>
          <w:numId w:val="0"/>
        </w:numPr>
        <w:rPr>
          <w:rFonts w:hint="eastAsia"/>
          <w:lang w:val="en-US" w:eastAsia="zh-CN"/>
        </w:rPr>
      </w:pPr>
    </w:p>
    <w:p w14:paraId="33164F6A">
      <w:pPr>
        <w:numPr>
          <w:ilvl w:val="0"/>
          <w:numId w:val="0"/>
        </w:numPr>
        <w:rPr>
          <w:rFonts w:hint="default"/>
          <w:b/>
          <w:bCs/>
          <w:lang w:val="en-US" w:eastAsia="zh-CN"/>
        </w:rPr>
      </w:pPr>
      <w:r>
        <w:rPr>
          <w:rFonts w:hint="eastAsia"/>
          <w:b/>
          <w:bCs/>
          <w:lang w:val="en-US" w:eastAsia="zh-CN"/>
        </w:rPr>
        <w:t>（一）我国无障碍设施法规与覆盖率的发展</w:t>
      </w:r>
    </w:p>
    <w:p w14:paraId="282A1D92">
      <w:pPr>
        <w:numPr>
          <w:ilvl w:val="0"/>
          <w:numId w:val="0"/>
        </w:numPr>
        <w:ind w:firstLine="420" w:firstLineChars="0"/>
        <w:rPr>
          <w:rFonts w:hint="eastAsia"/>
          <w:lang w:val="en-US" w:eastAsia="zh-CN"/>
        </w:rPr>
      </w:pPr>
      <w:r>
        <w:rPr>
          <w:rFonts w:hint="eastAsia"/>
          <w:lang w:val="en-US" w:eastAsia="zh-CN"/>
        </w:rPr>
        <w:t>为回答第一个疑问——“高度差争议”是否为系统性问题，本节，纵向梳理从1982年起的中国公共交通无障碍设施发展轨迹。该图表的绘图逻辑源于“多层级演进模型”：x轴为时间序列，y轴量化“发展强度”（基于事件影响力主观评分，0-10分，运用qwen max大语言模型，结合针对“落地效果”的引导词，对相应的事件进行给分），并叠加覆盖率趋势线（通过相应文件中的表述提取出覆盖率信息），以渐变色条区分阶段。</w:t>
      </w:r>
    </w:p>
    <w:p w14:paraId="6DBDC8BB">
      <w:pPr>
        <w:numPr>
          <w:ilvl w:val="0"/>
          <w:numId w:val="0"/>
        </w:numPr>
        <w:ind w:firstLine="420" w:firstLineChars="0"/>
        <w:rPr>
          <w:rFonts w:hint="eastAsia"/>
          <w:lang w:val="en-US" w:eastAsia="zh-CN"/>
        </w:rPr>
      </w:pPr>
      <w:r>
        <w:rPr>
          <w:rFonts w:hint="eastAsia"/>
          <w:lang w:val="en-US" w:eastAsia="zh-CN"/>
        </w:rPr>
        <w:t>这种双轴复合设计创新性地融合事件点与量化曲线，不仅连接政策节点（如1982年宪法保障、2012年条例实施、2023年无障碍法施行），还突出设施落地和认知转变，直观揭示早期政策密集但设施滞后的“时间差”，从而论证“高度差”并非孤例，而是历史遗留的系统性短板。通过此图，研究思路进一步体现：历史数据验证问题根源，为后续现状分析铺垫基础。</w:t>
      </w:r>
    </w:p>
    <w:p w14:paraId="359C6588">
      <w:pPr>
        <w:numPr>
          <w:ilvl w:val="0"/>
          <w:numId w:val="0"/>
        </w:numPr>
        <w:rPr>
          <w:rFonts w:hint="eastAsia"/>
          <w:lang w:val="en-US" w:eastAsia="zh-CN"/>
        </w:rPr>
      </w:pPr>
      <w:r>
        <w:rPr>
          <w:rFonts w:hint="eastAsia"/>
          <w:lang w:val="en-US" w:eastAsia="zh-CN"/>
        </w:rPr>
        <w:drawing>
          <wp:inline distT="0" distB="0" distL="114300" distR="114300">
            <wp:extent cx="5269230" cy="2485390"/>
            <wp:effectExtent l="0" t="0" r="3810" b="13970"/>
            <wp:docPr id="4" name="图片 4" descr="图1_数据时间轴_无重叠最终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1_数据时间轴_无重叠最终版"/>
                    <pic:cNvPicPr>
                      <a:picLocks noChangeAspect="1"/>
                    </pic:cNvPicPr>
                  </pic:nvPicPr>
                  <pic:blipFill>
                    <a:blip r:embed="rId6"/>
                    <a:stretch>
                      <a:fillRect/>
                    </a:stretch>
                  </pic:blipFill>
                  <pic:spPr>
                    <a:xfrm>
                      <a:off x="0" y="0"/>
                      <a:ext cx="5269230" cy="2485390"/>
                    </a:xfrm>
                    <a:prstGeom prst="rect">
                      <a:avLst/>
                    </a:prstGeom>
                  </pic:spPr>
                </pic:pic>
              </a:graphicData>
            </a:graphic>
          </wp:inline>
        </w:drawing>
      </w:r>
    </w:p>
    <w:p w14:paraId="1315FF50">
      <w:pPr>
        <w:numPr>
          <w:ilvl w:val="0"/>
          <w:numId w:val="0"/>
        </w:numPr>
        <w:rPr>
          <w:rFonts w:hint="eastAsia"/>
          <w:lang w:val="en-US" w:eastAsia="zh-CN"/>
        </w:rPr>
      </w:pPr>
      <w:r>
        <w:drawing>
          <wp:inline distT="0" distB="0" distL="114300" distR="114300">
            <wp:extent cx="5265420" cy="1003300"/>
            <wp:effectExtent l="0" t="0" r="7620" b="25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5265420" cy="1003300"/>
                    </a:xfrm>
                    <a:prstGeom prst="rect">
                      <a:avLst/>
                    </a:prstGeom>
                    <a:noFill/>
                    <a:ln>
                      <a:noFill/>
                    </a:ln>
                  </pic:spPr>
                </pic:pic>
              </a:graphicData>
            </a:graphic>
          </wp:inline>
        </w:drawing>
      </w:r>
    </w:p>
    <w:p w14:paraId="29298679">
      <w:pPr>
        <w:pStyle w:val="4"/>
        <w:numPr>
          <w:ilvl w:val="0"/>
          <w:numId w:val="0"/>
        </w:numPr>
        <w:jc w:val="center"/>
        <w:rPr>
          <w:rFonts w:hint="eastAsia" w:eastAsia="宋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：中国公共交通无障碍设施发展“数据时间轴”</w:t>
      </w:r>
    </w:p>
    <w:p w14:paraId="695370B0">
      <w:pPr>
        <w:numPr>
          <w:ilvl w:val="0"/>
          <w:numId w:val="0"/>
        </w:numPr>
        <w:ind w:firstLine="420" w:firstLineChars="0"/>
        <w:rPr>
          <w:rFonts w:hint="eastAsia"/>
          <w:lang w:val="en-US" w:eastAsia="zh-CN"/>
        </w:rPr>
      </w:pPr>
      <w:r>
        <w:rPr>
          <w:rFonts w:hint="eastAsia"/>
          <w:lang w:val="en-US" w:eastAsia="zh-CN"/>
        </w:rPr>
        <w:t>其中的设施覆盖率数据来源如下，部分数据通过政策文件的文件描述推导而出，而对于早年的数据以及20年后得数据官网并没有大面积的普查公告，有大规模数据缺失现象，所以在这里我采用了相应的覆盖率映射公式以及线性插值法，以及解析已有的相关统计数据以确保数据的真实性和可靠性。</w:t>
      </w:r>
    </w:p>
    <w:p w14:paraId="331CBFD9">
      <w:pPr>
        <w:numPr>
          <w:ilvl w:val="0"/>
          <w:numId w:val="0"/>
        </w:numPr>
        <w:ind w:firstLine="420" w:firstLineChars="0"/>
      </w:pPr>
      <w:r>
        <w:drawing>
          <wp:inline distT="0" distB="0" distL="114300" distR="114300">
            <wp:extent cx="5088255" cy="397510"/>
            <wp:effectExtent l="0" t="0" r="1905" b="139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088255" cy="397510"/>
                    </a:xfrm>
                    <a:prstGeom prst="rect">
                      <a:avLst/>
                    </a:prstGeom>
                    <a:noFill/>
                    <a:ln>
                      <a:noFill/>
                    </a:ln>
                  </pic:spPr>
                </pic:pic>
              </a:graphicData>
            </a:graphic>
          </wp:inline>
        </w:drawing>
      </w:r>
    </w:p>
    <w:p w14:paraId="55C43958">
      <w:pPr>
        <w:bidi w:val="0"/>
        <w:rPr>
          <w:rFonts w:hint="eastAsia"/>
          <w:lang w:val="en-US" w:eastAsia="zh-CN"/>
        </w:rPr>
      </w:pPr>
      <w:r>
        <w:rPr>
          <w:rFonts w:hint="eastAsia"/>
          <w:lang w:val="en-US" w:eastAsia="zh-CN"/>
        </w:rPr>
        <w:t>早期（&lt;2010年）：</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eastAsia"/>
          <w:lang w:val="en-US" w:eastAsia="zh-CN"/>
        </w:rPr>
        <w:t xml:space="preserve">=1.0,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lang w:val="en-US" w:eastAsia="zh-CN"/>
        </w:rPr>
        <w:t>=</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oMath>
      <w:r>
        <w:rPr>
          <w:rFonts w:hint="eastAsia"/>
          <w:lang w:val="en-US" w:eastAsia="zh-CN"/>
        </w:rPr>
        <w:t>=0（仅市县比例）。</w:t>
      </w:r>
    </w:p>
    <w:p w14:paraId="54982D78">
      <w:pPr>
        <w:bidi w:val="0"/>
        <w:rPr>
          <w:rFonts w:hint="eastAsia"/>
          <w:lang w:val="en-US" w:eastAsia="zh-CN"/>
        </w:rPr>
      </w:pPr>
      <w:r>
        <w:rPr>
          <w:rFonts w:hint="eastAsia"/>
          <w:lang w:val="en-US" w:eastAsia="zh-CN"/>
        </w:rPr>
        <w:t>中期（2010 - 2020年）：</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eastAsia"/>
          <w:lang w:val="en-US" w:eastAsia="zh-CN"/>
        </w:rPr>
        <w:t xml:space="preserve">=0.7,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lang w:val="en-US" w:eastAsia="zh-CN"/>
        </w:rPr>
        <w:t xml:space="preserve">=0.3,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oMath>
      <w:r>
        <w:rPr>
          <w:rFonts w:hint="eastAsia"/>
          <w:lang w:val="en-US" w:eastAsia="zh-CN"/>
        </w:rPr>
        <w:t>=0。</w:t>
      </w:r>
    </w:p>
    <w:p w14:paraId="379649F8">
      <w:pPr>
        <w:bidi w:val="0"/>
        <w:rPr>
          <w:rFonts w:hint="eastAsia"/>
          <w:lang w:val="en-US" w:eastAsia="zh-CN"/>
        </w:rPr>
      </w:pPr>
      <w:r>
        <w:rPr>
          <w:rFonts w:hint="eastAsia"/>
          <w:lang w:val="en-US" w:eastAsia="zh-CN"/>
        </w:rPr>
        <w:t>后期（&gt;2020年）：</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eastAsia"/>
          <w:lang w:val="en-US" w:eastAsia="zh-CN"/>
        </w:rPr>
        <w:t xml:space="preserve">=0.4,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lang w:val="en-US" w:eastAsia="zh-CN"/>
        </w:rPr>
        <w:t xml:space="preserve">=0.2,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oMath>
      <w:r>
        <w:rPr>
          <w:rFonts w:hint="eastAsia"/>
          <w:lang w:val="en-US" w:eastAsia="zh-CN"/>
        </w:rPr>
        <w:t>=0.4（服务指标占比提升）。</w:t>
      </w:r>
    </w:p>
    <w:p w14:paraId="35A36C04">
      <w:pPr>
        <w:bidi w:val="0"/>
        <w:rPr>
          <w:rFonts w:hint="default"/>
          <w:lang w:val="en-US" w:eastAsia="zh-CN"/>
        </w:rPr>
      </w:pPr>
      <w:r>
        <w:rPr>
          <w:rFonts w:hint="eastAsia"/>
          <w:lang w:val="en-US" w:eastAsia="zh-CN"/>
        </w:rPr>
        <w:t>若三项指标中有一项缺失，则也使用线性插值法进行耦合计算。</w:t>
      </w:r>
    </w:p>
    <w:tbl>
      <w:tblPr>
        <w:tblStyle w:val="6"/>
        <w:tblpPr w:leftFromText="180" w:rightFromText="180" w:vertAnchor="text" w:horzAnchor="page" w:tblpX="1740" w:tblpY="489"/>
        <w:tblOverlap w:val="never"/>
        <w:tblW w:w="8522"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26"/>
        <w:gridCol w:w="920"/>
        <w:gridCol w:w="752"/>
        <w:gridCol w:w="3031"/>
        <w:gridCol w:w="3293"/>
      </w:tblGrid>
      <w:tr w14:paraId="1F9D37B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trPr>
        <w:tc>
          <w:tcPr>
            <w:tcW w:w="481" w:type="dxa"/>
            <w:tcBorders>
              <w:top w:val="single" w:color="000000" w:sz="12" w:space="0"/>
              <w:left w:val="nil"/>
              <w:bottom w:val="single" w:color="000000" w:sz="4" w:space="0"/>
              <w:right w:val="nil"/>
              <w:tl2br w:val="nil"/>
            </w:tcBorders>
            <w:shd w:val="clear" w:color="auto" w:fill="FFFFFF"/>
            <w:vAlign w:val="center"/>
          </w:tcPr>
          <w:p w14:paraId="0D9A312B">
            <w:pPr>
              <w:pStyle w:val="4"/>
              <w:bidi w:val="0"/>
              <w:snapToGrid w:val="0"/>
              <w:spacing w:line="240" w:lineRule="auto"/>
              <w:ind w:left="0" w:leftChars="0" w:right="0" w:rightChars="0" w:firstLine="0" w:firstLineChars="0"/>
              <w:jc w:val="center"/>
              <w:rPr>
                <w:b w:val="0"/>
                <w:sz w:val="15"/>
                <w:szCs w:val="15"/>
              </w:rPr>
            </w:pPr>
            <w:r>
              <w:rPr>
                <w:b w:val="0"/>
                <w:sz w:val="15"/>
                <w:szCs w:val="15"/>
                <w:lang w:val="en-US" w:eastAsia="zh-CN"/>
              </w:rPr>
              <w:t>年份</w:t>
            </w:r>
          </w:p>
        </w:tc>
        <w:tc>
          <w:tcPr>
            <w:tcW w:w="890" w:type="dxa"/>
            <w:tcBorders>
              <w:top w:val="single" w:color="000000" w:sz="12" w:space="0"/>
              <w:bottom w:val="single" w:color="000000" w:sz="4" w:space="0"/>
              <w:right w:val="nil"/>
            </w:tcBorders>
            <w:shd w:val="clear" w:color="auto" w:fill="FFFFFF"/>
            <w:vAlign w:val="center"/>
          </w:tcPr>
          <w:p w14:paraId="305FEC04">
            <w:pPr>
              <w:pStyle w:val="4"/>
              <w:bidi w:val="0"/>
              <w:snapToGrid w:val="0"/>
              <w:spacing w:line="240" w:lineRule="auto"/>
              <w:ind w:left="0" w:leftChars="0" w:right="0" w:rightChars="0" w:firstLine="0" w:firstLineChars="0"/>
              <w:jc w:val="center"/>
              <w:rPr>
                <w:b w:val="0"/>
                <w:sz w:val="15"/>
                <w:szCs w:val="15"/>
              </w:rPr>
            </w:pPr>
            <w:r>
              <w:rPr>
                <w:b w:val="0"/>
                <w:sz w:val="15"/>
                <w:szCs w:val="15"/>
                <w:lang w:val="en-US" w:eastAsia="zh-CN"/>
              </w:rPr>
              <w:t>覆盖率类型</w:t>
            </w:r>
          </w:p>
        </w:tc>
        <w:tc>
          <w:tcPr>
            <w:tcW w:w="722" w:type="dxa"/>
            <w:tcBorders>
              <w:top w:val="single" w:color="000000" w:sz="12" w:space="0"/>
              <w:bottom w:val="single" w:color="000000" w:sz="4" w:space="0"/>
              <w:right w:val="nil"/>
            </w:tcBorders>
            <w:shd w:val="clear" w:color="auto" w:fill="FFFFFF"/>
            <w:vAlign w:val="center"/>
          </w:tcPr>
          <w:p w14:paraId="340DA1DD">
            <w:pPr>
              <w:pStyle w:val="4"/>
              <w:bidi w:val="0"/>
              <w:snapToGrid w:val="0"/>
              <w:spacing w:line="240" w:lineRule="auto"/>
              <w:ind w:left="0" w:leftChars="0" w:right="0" w:rightChars="0" w:firstLine="0" w:firstLineChars="0"/>
              <w:jc w:val="center"/>
              <w:rPr>
                <w:b w:val="0"/>
                <w:sz w:val="15"/>
                <w:szCs w:val="15"/>
              </w:rPr>
            </w:pPr>
            <w:r>
              <w:rPr>
                <w:b w:val="0"/>
                <w:sz w:val="15"/>
                <w:szCs w:val="15"/>
                <w:lang w:val="en-US" w:eastAsia="zh-CN"/>
              </w:rPr>
              <w:t>覆盖率值</w:t>
            </w:r>
          </w:p>
        </w:tc>
        <w:tc>
          <w:tcPr>
            <w:tcW w:w="3001" w:type="dxa"/>
            <w:tcBorders>
              <w:top w:val="single" w:color="000000" w:sz="12" w:space="0"/>
              <w:bottom w:val="single" w:color="000000" w:sz="4" w:space="0"/>
              <w:right w:val="nil"/>
            </w:tcBorders>
            <w:shd w:val="clear" w:color="auto" w:fill="FFFFFF"/>
            <w:vAlign w:val="center"/>
          </w:tcPr>
          <w:p w14:paraId="56AFC4AC">
            <w:pPr>
              <w:pStyle w:val="4"/>
              <w:bidi w:val="0"/>
              <w:snapToGrid w:val="0"/>
              <w:spacing w:line="240" w:lineRule="auto"/>
              <w:ind w:left="0" w:leftChars="0" w:right="0" w:rightChars="0" w:firstLine="0" w:firstLineChars="0"/>
              <w:jc w:val="center"/>
              <w:rPr>
                <w:b w:val="0"/>
                <w:sz w:val="15"/>
                <w:szCs w:val="15"/>
              </w:rPr>
            </w:pPr>
            <w:r>
              <w:rPr>
                <w:b w:val="0"/>
                <w:sz w:val="15"/>
                <w:szCs w:val="15"/>
                <w:lang w:val="en-US" w:eastAsia="zh-CN"/>
              </w:rPr>
              <w:t>说明/范围</w:t>
            </w:r>
          </w:p>
        </w:tc>
        <w:tc>
          <w:tcPr>
            <w:tcW w:w="3248" w:type="dxa"/>
            <w:tcBorders>
              <w:top w:val="single" w:color="000000" w:sz="12" w:space="0"/>
              <w:bottom w:val="single" w:color="000000" w:sz="4" w:space="0"/>
              <w:right w:val="nil"/>
            </w:tcBorders>
            <w:shd w:val="clear" w:color="auto" w:fill="FFFFFF"/>
            <w:vAlign w:val="center"/>
          </w:tcPr>
          <w:p w14:paraId="457FB221">
            <w:pPr>
              <w:pStyle w:val="4"/>
              <w:bidi w:val="0"/>
              <w:snapToGrid w:val="0"/>
              <w:spacing w:line="240" w:lineRule="auto"/>
              <w:ind w:left="0" w:leftChars="0" w:right="0" w:rightChars="0" w:firstLine="0" w:firstLineChars="0"/>
              <w:jc w:val="center"/>
              <w:rPr>
                <w:b w:val="0"/>
                <w:sz w:val="15"/>
                <w:szCs w:val="15"/>
              </w:rPr>
            </w:pPr>
            <w:r>
              <w:rPr>
                <w:b w:val="0"/>
                <w:sz w:val="15"/>
                <w:szCs w:val="15"/>
                <w:lang w:val="en-US" w:eastAsia="zh-CN"/>
              </w:rPr>
              <w:t>来源</w:t>
            </w:r>
          </w:p>
        </w:tc>
      </w:tr>
      <w:tr w14:paraId="57C35F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481" w:type="dxa"/>
            <w:tcBorders>
              <w:top w:val="single" w:color="000000" w:sz="4" w:space="0"/>
              <w:left w:val="nil"/>
              <w:bottom w:val="nil"/>
              <w:right w:val="nil"/>
            </w:tcBorders>
            <w:shd w:val="clear" w:color="auto" w:fill="FFFFFF"/>
            <w:vAlign w:val="center"/>
          </w:tcPr>
          <w:p w14:paraId="12B33375">
            <w:pPr>
              <w:pStyle w:val="4"/>
              <w:bidi w:val="0"/>
              <w:snapToGrid w:val="0"/>
              <w:spacing w:line="240" w:lineRule="auto"/>
              <w:ind w:left="0" w:leftChars="0" w:right="0" w:rightChars="0" w:firstLine="0" w:firstLineChars="0"/>
              <w:jc w:val="center"/>
              <w:rPr>
                <w:rFonts w:ascii="Arial" w:eastAsia="楷体"/>
                <w:b w:val="0"/>
                <w:sz w:val="15"/>
                <w:szCs w:val="15"/>
              </w:rPr>
            </w:pPr>
            <w:r>
              <w:rPr>
                <w:rFonts w:ascii="Arial" w:eastAsia="楷体"/>
                <w:b w:val="0"/>
                <w:sz w:val="15"/>
                <w:szCs w:val="15"/>
                <w:lang w:val="en-US" w:eastAsia="zh-CN"/>
              </w:rPr>
              <w:t>1989</w:t>
            </w:r>
          </w:p>
        </w:tc>
        <w:tc>
          <w:tcPr>
            <w:tcW w:w="890" w:type="dxa"/>
            <w:tcBorders>
              <w:top w:val="single" w:color="000000" w:sz="4" w:space="0"/>
              <w:bottom w:val="nil"/>
              <w:right w:val="nil"/>
            </w:tcBorders>
            <w:shd w:val="clear" w:color="auto" w:fill="FFFFFF"/>
            <w:vAlign w:val="center"/>
          </w:tcPr>
          <w:p w14:paraId="244708B8">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无障碍建设市县比例</w:t>
            </w:r>
          </w:p>
        </w:tc>
        <w:tc>
          <w:tcPr>
            <w:tcW w:w="722" w:type="dxa"/>
            <w:tcBorders>
              <w:top w:val="single" w:color="000000" w:sz="4" w:space="0"/>
              <w:bottom w:val="nil"/>
              <w:right w:val="nil"/>
            </w:tcBorders>
            <w:shd w:val="clear" w:color="auto" w:fill="FFFFFF"/>
            <w:vAlign w:val="center"/>
          </w:tcPr>
          <w:p w14:paraId="5CEACFCC">
            <w:pPr>
              <w:pStyle w:val="4"/>
              <w:bidi w:val="0"/>
              <w:snapToGrid w:val="0"/>
              <w:spacing w:line="240" w:lineRule="auto"/>
              <w:ind w:left="0" w:leftChars="0" w:right="0" w:rightChars="0" w:firstLine="0" w:firstLineChars="0"/>
              <w:jc w:val="center"/>
              <w:rPr>
                <w:rFonts w:ascii="Arial" w:eastAsia="楷体"/>
                <w:b w:val="0"/>
                <w:sz w:val="15"/>
                <w:szCs w:val="15"/>
              </w:rPr>
            </w:pPr>
            <w:r>
              <w:rPr>
                <w:rFonts w:hint="eastAsia"/>
                <w:b w:val="0"/>
                <w:sz w:val="15"/>
                <w:szCs w:val="15"/>
                <w:lang w:val="en-US" w:eastAsia="zh-CN"/>
              </w:rPr>
              <w:t>4.1</w:t>
            </w:r>
            <w:r>
              <w:rPr>
                <w:rFonts w:ascii="Arial" w:eastAsia="楷体"/>
                <w:b w:val="0"/>
                <w:sz w:val="15"/>
                <w:szCs w:val="15"/>
                <w:lang w:val="en-US" w:eastAsia="zh-CN"/>
              </w:rPr>
              <w:t>%</w:t>
            </w:r>
          </w:p>
        </w:tc>
        <w:tc>
          <w:tcPr>
            <w:tcW w:w="3001" w:type="dxa"/>
            <w:tcBorders>
              <w:top w:val="single" w:color="000000" w:sz="4" w:space="0"/>
              <w:bottom w:val="nil"/>
              <w:right w:val="nil"/>
            </w:tcBorders>
            <w:shd w:val="clear" w:color="auto" w:fill="FFFFFF"/>
            <w:vAlign w:val="center"/>
          </w:tcPr>
          <w:p w14:paraId="7594E8E3">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首个标准《方便残疾人使用的城市道路和建筑物设计规范（试行）》实施，全国仅少数城市（如北京试点）启动公共交通坡道/盲道建设，无全国统计，估算&lt;30个市县参与。</w:t>
            </w:r>
          </w:p>
        </w:tc>
        <w:tc>
          <w:tcPr>
            <w:tcW w:w="3248" w:type="dxa"/>
            <w:tcBorders>
              <w:top w:val="single" w:color="000000" w:sz="4" w:space="0"/>
              <w:bottom w:val="nil"/>
              <w:right w:val="nil"/>
            </w:tcBorders>
            <w:shd w:val="clear" w:color="auto" w:fill="FFFFFF"/>
            <w:vAlign w:val="center"/>
          </w:tcPr>
          <w:p w14:paraId="298BB098">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中国残疾人联合会. (1990). 《中国残疾人事业“八五”计划纲要（1988-1992）》. 中国残联官网.</w:t>
            </w:r>
          </w:p>
        </w:tc>
      </w:tr>
      <w:tr w14:paraId="258CDA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481" w:type="dxa"/>
            <w:tcBorders>
              <w:top w:val="nil"/>
              <w:left w:val="nil"/>
              <w:bottom w:val="nil"/>
              <w:right w:val="nil"/>
            </w:tcBorders>
            <w:shd w:val="clear" w:color="auto" w:fill="FFFFFF"/>
            <w:vAlign w:val="center"/>
          </w:tcPr>
          <w:p w14:paraId="23D74FF7">
            <w:pPr>
              <w:pStyle w:val="4"/>
              <w:bidi w:val="0"/>
              <w:snapToGrid w:val="0"/>
              <w:spacing w:line="240" w:lineRule="auto"/>
              <w:ind w:left="0" w:leftChars="0" w:right="0" w:rightChars="0" w:firstLine="0" w:firstLineChars="0"/>
              <w:jc w:val="center"/>
              <w:rPr>
                <w:rFonts w:ascii="Arial" w:eastAsia="楷体"/>
                <w:b w:val="0"/>
                <w:sz w:val="15"/>
                <w:szCs w:val="15"/>
              </w:rPr>
            </w:pPr>
            <w:r>
              <w:rPr>
                <w:rFonts w:ascii="Arial" w:eastAsia="楷体"/>
                <w:b w:val="0"/>
                <w:sz w:val="15"/>
                <w:szCs w:val="15"/>
                <w:lang w:val="en-US" w:eastAsia="zh-CN"/>
              </w:rPr>
              <w:t>2000</w:t>
            </w:r>
          </w:p>
        </w:tc>
        <w:tc>
          <w:tcPr>
            <w:tcW w:w="890" w:type="dxa"/>
            <w:tcBorders>
              <w:top w:val="nil"/>
              <w:bottom w:val="nil"/>
              <w:right w:val="nil"/>
            </w:tcBorders>
            <w:shd w:val="clear" w:color="auto" w:fill="FFFFFF"/>
            <w:vAlign w:val="center"/>
          </w:tcPr>
          <w:p w14:paraId="115BBC12">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无障碍建设市县比例</w:t>
            </w:r>
          </w:p>
        </w:tc>
        <w:tc>
          <w:tcPr>
            <w:tcW w:w="722" w:type="dxa"/>
            <w:tcBorders>
              <w:top w:val="nil"/>
              <w:bottom w:val="nil"/>
              <w:right w:val="nil"/>
            </w:tcBorders>
            <w:shd w:val="clear" w:color="auto" w:fill="FFFFFF"/>
            <w:vAlign w:val="center"/>
          </w:tcPr>
          <w:p w14:paraId="7D440279">
            <w:pPr>
              <w:pStyle w:val="4"/>
              <w:bidi w:val="0"/>
              <w:snapToGrid w:val="0"/>
              <w:spacing w:line="240" w:lineRule="auto"/>
              <w:ind w:left="0" w:leftChars="0" w:right="0" w:rightChars="0" w:firstLine="0" w:firstLineChars="0"/>
              <w:jc w:val="center"/>
              <w:rPr>
                <w:rFonts w:ascii="Arial" w:eastAsia="楷体"/>
                <w:b w:val="0"/>
                <w:sz w:val="15"/>
                <w:szCs w:val="15"/>
              </w:rPr>
            </w:pPr>
            <w:r>
              <w:rPr>
                <w:rFonts w:hint="eastAsia"/>
                <w:b w:val="0"/>
                <w:sz w:val="15"/>
                <w:szCs w:val="15"/>
                <w:lang w:val="en-US" w:eastAsia="zh-CN"/>
              </w:rPr>
              <w:t>17.9</w:t>
            </w:r>
            <w:r>
              <w:rPr>
                <w:rFonts w:ascii="Arial" w:eastAsia="楷体"/>
                <w:b w:val="0"/>
                <w:sz w:val="15"/>
                <w:szCs w:val="15"/>
                <w:lang w:val="en-US" w:eastAsia="zh-CN"/>
              </w:rPr>
              <w:t>%</w:t>
            </w:r>
          </w:p>
        </w:tc>
        <w:tc>
          <w:tcPr>
            <w:tcW w:w="3001" w:type="dxa"/>
            <w:tcBorders>
              <w:top w:val="nil"/>
              <w:bottom w:val="nil"/>
              <w:right w:val="nil"/>
            </w:tcBorders>
            <w:shd w:val="clear" w:color="auto" w:fill="FFFFFF"/>
            <w:vAlign w:val="center"/>
          </w:tcPr>
          <w:p w14:paraId="56069C47">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“十五”期间12个示范城市（如北京、上海）获全国无障碍设施建设称号，公共交通示范覆盖奥运场馆周边地铁/公交，全国约120个市县初步开展。</w:t>
            </w:r>
          </w:p>
        </w:tc>
        <w:tc>
          <w:tcPr>
            <w:tcW w:w="3248" w:type="dxa"/>
            <w:tcBorders>
              <w:top w:val="nil"/>
              <w:bottom w:val="nil"/>
              <w:right w:val="nil"/>
            </w:tcBorders>
            <w:shd w:val="clear" w:color="auto" w:fill="FFFFFF"/>
            <w:vAlign w:val="center"/>
          </w:tcPr>
          <w:p w14:paraId="6810002C">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中国残疾人联合会. (2001). 《中国残疾人事业发展统计公报（2000）》. 北京：华夏出版社.</w:t>
            </w:r>
          </w:p>
        </w:tc>
      </w:tr>
      <w:tr w14:paraId="6B19CA3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481" w:type="dxa"/>
            <w:tcBorders>
              <w:top w:val="nil"/>
              <w:left w:val="nil"/>
              <w:bottom w:val="nil"/>
              <w:right w:val="nil"/>
            </w:tcBorders>
            <w:shd w:val="clear" w:color="auto" w:fill="FFFFFF"/>
            <w:vAlign w:val="center"/>
          </w:tcPr>
          <w:p w14:paraId="25D6E63D">
            <w:pPr>
              <w:pStyle w:val="4"/>
              <w:bidi w:val="0"/>
              <w:snapToGrid w:val="0"/>
              <w:spacing w:line="240" w:lineRule="auto"/>
              <w:ind w:left="0" w:leftChars="0" w:right="0" w:rightChars="0" w:firstLine="0" w:firstLineChars="0"/>
              <w:jc w:val="center"/>
              <w:rPr>
                <w:rFonts w:ascii="Arial" w:eastAsia="楷体"/>
                <w:b w:val="0"/>
                <w:sz w:val="15"/>
                <w:szCs w:val="15"/>
              </w:rPr>
            </w:pPr>
            <w:r>
              <w:rPr>
                <w:rFonts w:ascii="Arial" w:eastAsia="楷体"/>
                <w:b w:val="0"/>
                <w:sz w:val="15"/>
                <w:szCs w:val="15"/>
                <w:lang w:val="en-US" w:eastAsia="zh-CN"/>
              </w:rPr>
              <w:t>2010</w:t>
            </w:r>
          </w:p>
        </w:tc>
        <w:tc>
          <w:tcPr>
            <w:tcW w:w="890" w:type="dxa"/>
            <w:tcBorders>
              <w:top w:val="nil"/>
              <w:bottom w:val="nil"/>
              <w:right w:val="nil"/>
            </w:tcBorders>
            <w:shd w:val="clear" w:color="auto" w:fill="FFFFFF"/>
            <w:vAlign w:val="center"/>
          </w:tcPr>
          <w:p w14:paraId="75C17666">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无障碍建设市县比例</w:t>
            </w:r>
          </w:p>
        </w:tc>
        <w:tc>
          <w:tcPr>
            <w:tcW w:w="722" w:type="dxa"/>
            <w:tcBorders>
              <w:top w:val="nil"/>
              <w:bottom w:val="nil"/>
              <w:right w:val="nil"/>
            </w:tcBorders>
            <w:shd w:val="clear" w:color="auto" w:fill="FFFFFF"/>
            <w:vAlign w:val="center"/>
          </w:tcPr>
          <w:p w14:paraId="7AA55BC9">
            <w:pPr>
              <w:pStyle w:val="4"/>
              <w:bidi w:val="0"/>
              <w:snapToGrid w:val="0"/>
              <w:spacing w:line="240" w:lineRule="auto"/>
              <w:ind w:left="0" w:leftChars="0" w:right="0" w:rightChars="0" w:firstLine="0" w:firstLineChars="0"/>
              <w:jc w:val="center"/>
              <w:rPr>
                <w:rFonts w:ascii="Arial" w:eastAsia="楷体"/>
                <w:b w:val="0"/>
                <w:sz w:val="15"/>
                <w:szCs w:val="15"/>
              </w:rPr>
            </w:pPr>
            <w:r>
              <w:rPr>
                <w:rFonts w:ascii="Arial" w:eastAsia="楷体"/>
                <w:b w:val="0"/>
                <w:sz w:val="15"/>
                <w:szCs w:val="15"/>
                <w:lang w:val="en-US" w:eastAsia="zh-CN"/>
              </w:rPr>
              <w:t>2</w:t>
            </w:r>
            <w:r>
              <w:rPr>
                <w:rFonts w:hint="eastAsia"/>
                <w:b w:val="0"/>
                <w:sz w:val="15"/>
                <w:szCs w:val="15"/>
                <w:lang w:val="en-US" w:eastAsia="zh-CN"/>
              </w:rPr>
              <w:t>8.2</w:t>
            </w:r>
            <w:r>
              <w:rPr>
                <w:rFonts w:ascii="Arial" w:eastAsia="楷体"/>
                <w:b w:val="0"/>
                <w:sz w:val="15"/>
                <w:szCs w:val="15"/>
                <w:lang w:val="en-US" w:eastAsia="zh-CN"/>
              </w:rPr>
              <w:t>%</w:t>
            </w:r>
          </w:p>
        </w:tc>
        <w:tc>
          <w:tcPr>
            <w:tcW w:w="3001" w:type="dxa"/>
            <w:tcBorders>
              <w:top w:val="nil"/>
              <w:bottom w:val="nil"/>
              <w:right w:val="nil"/>
            </w:tcBorders>
            <w:shd w:val="clear" w:color="auto" w:fill="FFFFFF"/>
            <w:vAlign w:val="center"/>
          </w:tcPr>
          <w:p w14:paraId="2519C277">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“十一五”期间创建100个全国无障碍建设城市，公共交通设施（如低地板公交）在示范城市覆盖率达50%以上，全国约600个市县参与改造。</w:t>
            </w:r>
          </w:p>
        </w:tc>
        <w:tc>
          <w:tcPr>
            <w:tcW w:w="3248" w:type="dxa"/>
            <w:tcBorders>
              <w:top w:val="nil"/>
              <w:bottom w:val="nil"/>
              <w:right w:val="nil"/>
            </w:tcBorders>
            <w:shd w:val="clear" w:color="auto" w:fill="FFFFFF"/>
            <w:vAlign w:val="center"/>
          </w:tcPr>
          <w:p w14:paraId="06ACF6E7">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 xml:space="preserve">中国残疾人联合会. (2011). 《2010年中国残疾人事业发展统计公报》. </w:t>
            </w:r>
          </w:p>
        </w:tc>
      </w:tr>
      <w:tr w14:paraId="444B807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481" w:type="dxa"/>
            <w:tcBorders>
              <w:top w:val="nil"/>
              <w:left w:val="nil"/>
              <w:bottom w:val="nil"/>
              <w:right w:val="nil"/>
            </w:tcBorders>
            <w:shd w:val="clear" w:color="auto" w:fill="FFFFFF"/>
            <w:vAlign w:val="center"/>
          </w:tcPr>
          <w:p w14:paraId="3D67612E">
            <w:pPr>
              <w:pStyle w:val="4"/>
              <w:bidi w:val="0"/>
              <w:snapToGrid w:val="0"/>
              <w:spacing w:line="240" w:lineRule="auto"/>
              <w:ind w:left="0" w:leftChars="0" w:right="0" w:rightChars="0" w:firstLine="0" w:firstLineChars="0"/>
              <w:jc w:val="center"/>
              <w:rPr>
                <w:rFonts w:ascii="Arial" w:eastAsia="楷体"/>
                <w:b w:val="0"/>
                <w:sz w:val="15"/>
                <w:szCs w:val="15"/>
              </w:rPr>
            </w:pPr>
            <w:r>
              <w:rPr>
                <w:rFonts w:ascii="Arial" w:eastAsia="楷体"/>
                <w:b w:val="0"/>
                <w:sz w:val="15"/>
                <w:szCs w:val="15"/>
                <w:lang w:val="en-US" w:eastAsia="zh-CN"/>
              </w:rPr>
              <w:t>2019</w:t>
            </w:r>
          </w:p>
        </w:tc>
        <w:tc>
          <w:tcPr>
            <w:tcW w:w="890" w:type="dxa"/>
            <w:tcBorders>
              <w:top w:val="nil"/>
              <w:bottom w:val="nil"/>
              <w:right w:val="nil"/>
            </w:tcBorders>
            <w:shd w:val="clear" w:color="auto" w:fill="FFFFFF"/>
            <w:vAlign w:val="center"/>
          </w:tcPr>
          <w:p w14:paraId="61B40863">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无障碍建设市县比例</w:t>
            </w:r>
          </w:p>
        </w:tc>
        <w:tc>
          <w:tcPr>
            <w:tcW w:w="722" w:type="dxa"/>
            <w:tcBorders>
              <w:top w:val="nil"/>
              <w:bottom w:val="nil"/>
              <w:right w:val="nil"/>
            </w:tcBorders>
            <w:shd w:val="clear" w:color="auto" w:fill="FFFFFF"/>
            <w:vAlign w:val="center"/>
          </w:tcPr>
          <w:p w14:paraId="380CB611">
            <w:pPr>
              <w:pStyle w:val="4"/>
              <w:bidi w:val="0"/>
              <w:snapToGrid w:val="0"/>
              <w:spacing w:line="240" w:lineRule="auto"/>
              <w:ind w:left="0" w:leftChars="0" w:right="0" w:rightChars="0" w:firstLine="0" w:firstLineChars="0"/>
              <w:jc w:val="center"/>
              <w:rPr>
                <w:rFonts w:ascii="Arial" w:eastAsia="楷体"/>
                <w:b w:val="0"/>
                <w:sz w:val="15"/>
                <w:szCs w:val="15"/>
              </w:rPr>
            </w:pPr>
            <w:r>
              <w:rPr>
                <w:rFonts w:hint="eastAsia"/>
                <w:b w:val="0"/>
                <w:sz w:val="15"/>
                <w:szCs w:val="15"/>
                <w:lang w:val="en-US" w:eastAsia="zh-CN"/>
              </w:rPr>
              <w:t>6</w:t>
            </w:r>
            <w:r>
              <w:rPr>
                <w:rFonts w:ascii="Arial" w:eastAsia="楷体"/>
                <w:b w:val="0"/>
                <w:sz w:val="15"/>
                <w:szCs w:val="15"/>
                <w:lang w:val="en-US" w:eastAsia="zh-CN"/>
              </w:rPr>
              <w:t>8</w:t>
            </w:r>
            <w:r>
              <w:rPr>
                <w:rFonts w:hint="eastAsia"/>
                <w:b w:val="0"/>
                <w:sz w:val="15"/>
                <w:szCs w:val="15"/>
                <w:lang w:val="en-US" w:eastAsia="zh-CN"/>
              </w:rPr>
              <w:t>.0</w:t>
            </w:r>
            <w:r>
              <w:rPr>
                <w:rFonts w:ascii="Arial" w:eastAsia="楷体"/>
                <w:b w:val="0"/>
                <w:sz w:val="15"/>
                <w:szCs w:val="15"/>
                <w:lang w:val="en-US" w:eastAsia="zh-CN"/>
              </w:rPr>
              <w:t>%</w:t>
            </w:r>
          </w:p>
        </w:tc>
        <w:tc>
          <w:tcPr>
            <w:tcW w:w="3001" w:type="dxa"/>
            <w:tcBorders>
              <w:top w:val="nil"/>
              <w:bottom w:val="nil"/>
              <w:right w:val="nil"/>
            </w:tcBorders>
            <w:shd w:val="clear" w:color="auto" w:fill="FFFFFF"/>
            <w:vAlign w:val="center"/>
          </w:tcPr>
          <w:p w14:paraId="2BFC4546">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开展无障碍建设的市、县达1737个，公共交通线路覆盖率在示范城市≥70%，全国村社区出入口无障碍改造81.05%。</w:t>
            </w:r>
          </w:p>
        </w:tc>
        <w:tc>
          <w:tcPr>
            <w:tcW w:w="3248" w:type="dxa"/>
            <w:tcBorders>
              <w:top w:val="nil"/>
              <w:bottom w:val="nil"/>
              <w:right w:val="nil"/>
            </w:tcBorders>
            <w:shd w:val="clear" w:color="auto" w:fill="FFFFFF"/>
            <w:vAlign w:val="center"/>
          </w:tcPr>
          <w:p w14:paraId="027933DD">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中国残疾人联合会. (2020). 《2019年中国残疾人事业发展统计公报》. 北京：中国统计出版社.</w:t>
            </w:r>
          </w:p>
        </w:tc>
      </w:tr>
      <w:tr w14:paraId="65023D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481" w:type="dxa"/>
            <w:tcBorders>
              <w:top w:val="nil"/>
              <w:left w:val="nil"/>
              <w:bottom w:val="nil"/>
              <w:right w:val="nil"/>
            </w:tcBorders>
            <w:shd w:val="clear" w:color="auto" w:fill="FFFFFF"/>
            <w:vAlign w:val="center"/>
          </w:tcPr>
          <w:p w14:paraId="1C65561F">
            <w:pPr>
              <w:pStyle w:val="4"/>
              <w:bidi w:val="0"/>
              <w:snapToGrid w:val="0"/>
              <w:spacing w:line="240" w:lineRule="auto"/>
              <w:ind w:left="0" w:leftChars="0" w:right="0" w:rightChars="0" w:firstLine="0" w:firstLineChars="0"/>
              <w:jc w:val="center"/>
              <w:rPr>
                <w:rFonts w:ascii="Arial" w:eastAsia="楷体"/>
                <w:b w:val="0"/>
                <w:sz w:val="15"/>
                <w:szCs w:val="15"/>
              </w:rPr>
            </w:pPr>
            <w:r>
              <w:rPr>
                <w:rFonts w:ascii="Arial" w:eastAsia="楷体"/>
                <w:b w:val="0"/>
                <w:sz w:val="15"/>
                <w:szCs w:val="15"/>
                <w:lang w:val="en-US" w:eastAsia="zh-CN"/>
              </w:rPr>
              <w:t>2020</w:t>
            </w:r>
          </w:p>
        </w:tc>
        <w:tc>
          <w:tcPr>
            <w:tcW w:w="890" w:type="dxa"/>
            <w:tcBorders>
              <w:top w:val="nil"/>
              <w:bottom w:val="nil"/>
              <w:right w:val="nil"/>
            </w:tcBorders>
            <w:shd w:val="clear" w:color="auto" w:fill="FFFFFF"/>
            <w:vAlign w:val="center"/>
          </w:tcPr>
          <w:p w14:paraId="26CBF6C2">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无障碍建设市县比例</w:t>
            </w:r>
          </w:p>
        </w:tc>
        <w:tc>
          <w:tcPr>
            <w:tcW w:w="722" w:type="dxa"/>
            <w:tcBorders>
              <w:top w:val="nil"/>
              <w:bottom w:val="nil"/>
              <w:right w:val="nil"/>
            </w:tcBorders>
            <w:shd w:val="clear" w:color="auto" w:fill="FFFFFF"/>
            <w:vAlign w:val="center"/>
          </w:tcPr>
          <w:p w14:paraId="7426F01D">
            <w:pPr>
              <w:pStyle w:val="4"/>
              <w:bidi w:val="0"/>
              <w:snapToGrid w:val="0"/>
              <w:spacing w:line="240" w:lineRule="auto"/>
              <w:ind w:left="0" w:leftChars="0" w:right="0" w:rightChars="0" w:firstLine="0" w:firstLineChars="0"/>
              <w:jc w:val="center"/>
              <w:rPr>
                <w:rFonts w:ascii="Arial" w:eastAsia="楷体"/>
                <w:b w:val="0"/>
                <w:sz w:val="15"/>
                <w:szCs w:val="15"/>
              </w:rPr>
            </w:pPr>
            <w:r>
              <w:rPr>
                <w:rFonts w:hint="eastAsia"/>
                <w:b w:val="0"/>
                <w:sz w:val="15"/>
                <w:szCs w:val="15"/>
                <w:lang w:val="en-US" w:eastAsia="zh-CN"/>
              </w:rPr>
              <w:t>6</w:t>
            </w:r>
            <w:r>
              <w:rPr>
                <w:rFonts w:ascii="Arial" w:eastAsia="楷体"/>
                <w:b w:val="0"/>
                <w:sz w:val="15"/>
                <w:szCs w:val="15"/>
                <w:lang w:val="en-US" w:eastAsia="zh-CN"/>
              </w:rPr>
              <w:t>8.4%</w:t>
            </w:r>
          </w:p>
        </w:tc>
        <w:tc>
          <w:tcPr>
            <w:tcW w:w="3001" w:type="dxa"/>
            <w:tcBorders>
              <w:top w:val="nil"/>
              <w:bottom w:val="nil"/>
              <w:right w:val="nil"/>
            </w:tcBorders>
            <w:shd w:val="clear" w:color="auto" w:fill="FFFFFF"/>
            <w:vAlign w:val="center"/>
          </w:tcPr>
          <w:p w14:paraId="3E007924">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系统开展无障碍环境建设的市、县达1753个，公共交通客运设施覆盖率部分省份100%，累计创建469个无障碍市县村镇。</w:t>
            </w:r>
          </w:p>
        </w:tc>
        <w:tc>
          <w:tcPr>
            <w:tcW w:w="3248" w:type="dxa"/>
            <w:tcBorders>
              <w:top w:val="nil"/>
              <w:bottom w:val="nil"/>
              <w:right w:val="nil"/>
            </w:tcBorders>
            <w:shd w:val="clear" w:color="auto" w:fill="FFFFFF"/>
            <w:vAlign w:val="center"/>
          </w:tcPr>
          <w:p w14:paraId="7D1ECBCA">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 xml:space="preserve">中国残疾人联合会. (2021). 《2020年中国残疾人事业发展统计公报》. </w:t>
            </w:r>
          </w:p>
        </w:tc>
      </w:tr>
      <w:tr w14:paraId="773736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481" w:type="dxa"/>
            <w:tcBorders>
              <w:top w:val="nil"/>
              <w:left w:val="nil"/>
              <w:bottom w:val="nil"/>
              <w:right w:val="nil"/>
            </w:tcBorders>
            <w:shd w:val="clear" w:color="auto" w:fill="FFFFFF"/>
            <w:vAlign w:val="center"/>
          </w:tcPr>
          <w:p w14:paraId="51DCE929">
            <w:pPr>
              <w:pStyle w:val="4"/>
              <w:bidi w:val="0"/>
              <w:snapToGrid w:val="0"/>
              <w:spacing w:line="240" w:lineRule="auto"/>
              <w:ind w:left="0" w:leftChars="0" w:right="0" w:rightChars="0" w:firstLine="0" w:firstLineChars="0"/>
              <w:jc w:val="center"/>
              <w:rPr>
                <w:rFonts w:ascii="Arial" w:eastAsia="楷体"/>
                <w:b w:val="0"/>
                <w:sz w:val="15"/>
                <w:szCs w:val="15"/>
              </w:rPr>
            </w:pPr>
            <w:r>
              <w:rPr>
                <w:rFonts w:ascii="Arial" w:eastAsia="楷体"/>
                <w:b w:val="0"/>
                <w:sz w:val="15"/>
                <w:szCs w:val="15"/>
                <w:lang w:val="en-US" w:eastAsia="zh-CN"/>
              </w:rPr>
              <w:t>2021</w:t>
            </w:r>
          </w:p>
        </w:tc>
        <w:tc>
          <w:tcPr>
            <w:tcW w:w="890" w:type="dxa"/>
            <w:tcBorders>
              <w:top w:val="nil"/>
              <w:bottom w:val="nil"/>
              <w:right w:val="nil"/>
            </w:tcBorders>
            <w:shd w:val="clear" w:color="auto" w:fill="FFFFFF"/>
            <w:vAlign w:val="center"/>
          </w:tcPr>
          <w:p w14:paraId="2242A6C2">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残疾人家庭无障碍改造覆盖率（出行相关）</w:t>
            </w:r>
          </w:p>
        </w:tc>
        <w:tc>
          <w:tcPr>
            <w:tcW w:w="722" w:type="dxa"/>
            <w:tcBorders>
              <w:top w:val="nil"/>
              <w:bottom w:val="nil"/>
              <w:right w:val="nil"/>
            </w:tcBorders>
            <w:shd w:val="clear" w:color="auto" w:fill="FFFFFF"/>
            <w:vAlign w:val="center"/>
          </w:tcPr>
          <w:p w14:paraId="28CE979E">
            <w:pPr>
              <w:pStyle w:val="4"/>
              <w:bidi w:val="0"/>
              <w:snapToGrid w:val="0"/>
              <w:spacing w:line="240" w:lineRule="auto"/>
              <w:ind w:left="0" w:leftChars="0" w:right="0" w:rightChars="0" w:firstLine="0" w:firstLineChars="0"/>
              <w:jc w:val="center"/>
              <w:rPr>
                <w:rFonts w:ascii="Arial" w:eastAsia="楷体"/>
                <w:b w:val="0"/>
                <w:sz w:val="15"/>
                <w:szCs w:val="15"/>
              </w:rPr>
            </w:pPr>
            <w:r>
              <w:rPr>
                <w:rFonts w:hint="eastAsia"/>
                <w:b w:val="0"/>
                <w:sz w:val="15"/>
                <w:szCs w:val="15"/>
                <w:lang w:val="en-US" w:eastAsia="zh-CN"/>
              </w:rPr>
              <w:t>72.3</w:t>
            </w:r>
            <w:r>
              <w:rPr>
                <w:rFonts w:ascii="Arial" w:eastAsia="楷体"/>
                <w:b w:val="0"/>
                <w:sz w:val="15"/>
                <w:szCs w:val="15"/>
                <w:lang w:val="en-US" w:eastAsia="zh-CN"/>
              </w:rPr>
              <w:t>%</w:t>
            </w:r>
          </w:p>
        </w:tc>
        <w:tc>
          <w:tcPr>
            <w:tcW w:w="3001" w:type="dxa"/>
            <w:tcBorders>
              <w:top w:val="nil"/>
              <w:bottom w:val="nil"/>
              <w:right w:val="nil"/>
            </w:tcBorders>
            <w:shd w:val="clear" w:color="auto" w:fill="FFFFFF"/>
            <w:vAlign w:val="center"/>
          </w:tcPr>
          <w:p w14:paraId="79FA803B">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覆盖435万残疾人家庭，包括公共交通出行改造（如坡道接入），从2017年9.6%提高。</w:t>
            </w:r>
          </w:p>
        </w:tc>
        <w:tc>
          <w:tcPr>
            <w:tcW w:w="3248" w:type="dxa"/>
            <w:tcBorders>
              <w:top w:val="nil"/>
              <w:bottom w:val="nil"/>
              <w:right w:val="nil"/>
            </w:tcBorders>
            <w:shd w:val="clear" w:color="auto" w:fill="FFFFFF"/>
            <w:vAlign w:val="center"/>
          </w:tcPr>
          <w:p w14:paraId="0B0BC8BF">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中国残疾人联合会. (2022). 《2021年中国残疾人事业发展统计公报》. 北京：中国统计出版社.</w:t>
            </w:r>
          </w:p>
        </w:tc>
      </w:tr>
      <w:tr w14:paraId="54C546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481" w:type="dxa"/>
            <w:tcBorders>
              <w:top w:val="nil"/>
              <w:left w:val="nil"/>
              <w:bottom w:val="nil"/>
              <w:right w:val="nil"/>
            </w:tcBorders>
            <w:shd w:val="clear" w:color="auto" w:fill="FFFFFF"/>
            <w:vAlign w:val="center"/>
          </w:tcPr>
          <w:p w14:paraId="1537DAFB">
            <w:pPr>
              <w:pStyle w:val="4"/>
              <w:bidi w:val="0"/>
              <w:snapToGrid w:val="0"/>
              <w:spacing w:line="240" w:lineRule="auto"/>
              <w:ind w:left="0" w:leftChars="0" w:right="0" w:rightChars="0" w:firstLine="0" w:firstLineChars="0"/>
              <w:jc w:val="center"/>
              <w:rPr>
                <w:rFonts w:ascii="Arial" w:eastAsia="楷体"/>
                <w:b w:val="0"/>
                <w:sz w:val="15"/>
                <w:szCs w:val="15"/>
              </w:rPr>
            </w:pPr>
            <w:r>
              <w:rPr>
                <w:rFonts w:ascii="Arial" w:eastAsia="楷体"/>
                <w:b w:val="0"/>
                <w:sz w:val="15"/>
                <w:szCs w:val="15"/>
                <w:lang w:val="en-US" w:eastAsia="zh-CN"/>
              </w:rPr>
              <w:t>2022</w:t>
            </w:r>
          </w:p>
        </w:tc>
        <w:tc>
          <w:tcPr>
            <w:tcW w:w="890" w:type="dxa"/>
            <w:tcBorders>
              <w:top w:val="nil"/>
              <w:bottom w:val="nil"/>
              <w:right w:val="nil"/>
            </w:tcBorders>
            <w:shd w:val="clear" w:color="auto" w:fill="FFFFFF"/>
            <w:vAlign w:val="center"/>
          </w:tcPr>
          <w:p w14:paraId="65C919EA">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公共交通线路无障碍覆盖率目标</w:t>
            </w:r>
          </w:p>
        </w:tc>
        <w:tc>
          <w:tcPr>
            <w:tcW w:w="722" w:type="dxa"/>
            <w:tcBorders>
              <w:top w:val="nil"/>
              <w:bottom w:val="nil"/>
              <w:right w:val="nil"/>
            </w:tcBorders>
            <w:shd w:val="clear" w:color="auto" w:fill="FFFFFF"/>
            <w:vAlign w:val="center"/>
          </w:tcPr>
          <w:p w14:paraId="275556AB">
            <w:pPr>
              <w:pStyle w:val="4"/>
              <w:bidi w:val="0"/>
              <w:snapToGrid w:val="0"/>
              <w:spacing w:line="240" w:lineRule="auto"/>
              <w:ind w:left="0" w:leftChars="0" w:right="0" w:rightChars="0" w:firstLine="0" w:firstLineChars="0"/>
              <w:jc w:val="center"/>
              <w:rPr>
                <w:rFonts w:ascii="Arial" w:eastAsia="楷体"/>
                <w:b w:val="0"/>
                <w:sz w:val="15"/>
                <w:szCs w:val="15"/>
              </w:rPr>
            </w:pPr>
            <w:r>
              <w:rPr>
                <w:rFonts w:ascii="Arial" w:eastAsia="楷体"/>
                <w:b w:val="0"/>
                <w:sz w:val="15"/>
                <w:szCs w:val="15"/>
                <w:lang w:val="en-US" w:eastAsia="zh-CN"/>
              </w:rPr>
              <w:t>80</w:t>
            </w:r>
            <w:r>
              <w:rPr>
                <w:rFonts w:hint="eastAsia"/>
                <w:b w:val="0"/>
                <w:sz w:val="15"/>
                <w:szCs w:val="15"/>
                <w:lang w:val="en-US" w:eastAsia="zh-CN"/>
              </w:rPr>
              <w:t>.1</w:t>
            </w:r>
            <w:r>
              <w:rPr>
                <w:rFonts w:ascii="Arial" w:eastAsia="楷体"/>
                <w:b w:val="0"/>
                <w:sz w:val="15"/>
                <w:szCs w:val="15"/>
                <w:lang w:val="en-US" w:eastAsia="zh-CN"/>
              </w:rPr>
              <w:t>%</w:t>
            </w:r>
          </w:p>
        </w:tc>
        <w:tc>
          <w:tcPr>
            <w:tcW w:w="3001" w:type="dxa"/>
            <w:tcBorders>
              <w:top w:val="nil"/>
              <w:bottom w:val="nil"/>
              <w:right w:val="nil"/>
            </w:tcBorders>
            <w:shd w:val="clear" w:color="auto" w:fill="FFFFFF"/>
            <w:vAlign w:val="center"/>
          </w:tcPr>
          <w:p w14:paraId="7ECEA0D6">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示范城市创建指标；实际覆盖率接近80%。</w:t>
            </w:r>
          </w:p>
        </w:tc>
        <w:tc>
          <w:tcPr>
            <w:tcW w:w="3248" w:type="dxa"/>
            <w:tcBorders>
              <w:top w:val="nil"/>
              <w:bottom w:val="nil"/>
              <w:right w:val="nil"/>
            </w:tcBorders>
            <w:shd w:val="clear" w:color="auto" w:fill="FFFFFF"/>
            <w:vAlign w:val="center"/>
          </w:tcPr>
          <w:p w14:paraId="6A882162">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 xml:space="preserve">住房和城乡建设部. (2022). 《关于开展全国无障碍环境建设示范城市创建工作的通知》. </w:t>
            </w:r>
          </w:p>
        </w:tc>
      </w:tr>
      <w:tr w14:paraId="2FE0FD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481" w:type="dxa"/>
            <w:tcBorders>
              <w:top w:val="nil"/>
              <w:left w:val="nil"/>
              <w:bottom w:val="nil"/>
              <w:right w:val="nil"/>
            </w:tcBorders>
            <w:shd w:val="clear" w:color="auto" w:fill="FFFFFF"/>
            <w:vAlign w:val="center"/>
          </w:tcPr>
          <w:p w14:paraId="56E4296B">
            <w:pPr>
              <w:pStyle w:val="4"/>
              <w:bidi w:val="0"/>
              <w:snapToGrid w:val="0"/>
              <w:spacing w:line="240" w:lineRule="auto"/>
              <w:ind w:left="0" w:leftChars="0" w:right="0" w:rightChars="0" w:firstLine="0" w:firstLineChars="0"/>
              <w:jc w:val="center"/>
              <w:rPr>
                <w:rFonts w:ascii="Arial" w:eastAsia="楷体"/>
                <w:b w:val="0"/>
                <w:sz w:val="15"/>
                <w:szCs w:val="15"/>
              </w:rPr>
            </w:pPr>
            <w:r>
              <w:rPr>
                <w:rFonts w:ascii="Arial" w:eastAsia="楷体"/>
                <w:b w:val="0"/>
                <w:sz w:val="15"/>
                <w:szCs w:val="15"/>
                <w:lang w:val="en-US" w:eastAsia="zh-CN"/>
              </w:rPr>
              <w:t>2024</w:t>
            </w:r>
          </w:p>
        </w:tc>
        <w:tc>
          <w:tcPr>
            <w:tcW w:w="890" w:type="dxa"/>
            <w:tcBorders>
              <w:top w:val="nil"/>
              <w:bottom w:val="nil"/>
              <w:right w:val="nil"/>
            </w:tcBorders>
            <w:shd w:val="clear" w:color="auto" w:fill="FFFFFF"/>
            <w:vAlign w:val="center"/>
          </w:tcPr>
          <w:p w14:paraId="24E40D4E">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适老化无障碍交通出行服务覆盖率</w:t>
            </w:r>
          </w:p>
        </w:tc>
        <w:tc>
          <w:tcPr>
            <w:tcW w:w="722" w:type="dxa"/>
            <w:tcBorders>
              <w:top w:val="nil"/>
              <w:bottom w:val="nil"/>
              <w:right w:val="nil"/>
            </w:tcBorders>
            <w:shd w:val="clear" w:color="auto" w:fill="FFFFFF"/>
            <w:vAlign w:val="center"/>
          </w:tcPr>
          <w:p w14:paraId="160C2A9A">
            <w:pPr>
              <w:pStyle w:val="4"/>
              <w:bidi w:val="0"/>
              <w:snapToGrid w:val="0"/>
              <w:spacing w:line="240" w:lineRule="auto"/>
              <w:ind w:left="0" w:leftChars="0" w:right="0" w:rightChars="0" w:firstLine="0" w:firstLineChars="0"/>
              <w:jc w:val="center"/>
              <w:rPr>
                <w:rFonts w:ascii="Arial" w:eastAsia="楷体"/>
                <w:b w:val="0"/>
                <w:sz w:val="15"/>
                <w:szCs w:val="15"/>
              </w:rPr>
            </w:pPr>
            <w:r>
              <w:rPr>
                <w:rFonts w:ascii="Arial" w:eastAsia="楷体"/>
                <w:b w:val="0"/>
                <w:sz w:val="15"/>
                <w:szCs w:val="15"/>
                <w:lang w:val="en-US" w:eastAsia="zh-CN"/>
              </w:rPr>
              <w:t>95</w:t>
            </w:r>
            <w:r>
              <w:rPr>
                <w:rFonts w:hint="eastAsia"/>
                <w:b w:val="0"/>
                <w:sz w:val="15"/>
                <w:szCs w:val="15"/>
                <w:lang w:val="en-US" w:eastAsia="zh-CN"/>
              </w:rPr>
              <w:t>.0</w:t>
            </w:r>
            <w:r>
              <w:rPr>
                <w:rFonts w:ascii="Arial" w:eastAsia="楷体"/>
                <w:b w:val="0"/>
                <w:sz w:val="15"/>
                <w:szCs w:val="15"/>
                <w:lang w:val="en-US" w:eastAsia="zh-CN"/>
              </w:rPr>
              <w:t>%</w:t>
            </w:r>
          </w:p>
        </w:tc>
        <w:tc>
          <w:tcPr>
            <w:tcW w:w="3001" w:type="dxa"/>
            <w:tcBorders>
              <w:top w:val="nil"/>
              <w:bottom w:val="nil"/>
              <w:right w:val="nil"/>
            </w:tcBorders>
            <w:shd w:val="clear" w:color="auto" w:fill="FFFFFF"/>
            <w:vAlign w:val="center"/>
          </w:tcPr>
          <w:p w14:paraId="66339CBA">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“一键叫车”服务覆盖地级及以上城市全域，包括公共汽电车/轨道交通；家庭改造122.5万户。</w:t>
            </w:r>
          </w:p>
        </w:tc>
        <w:tc>
          <w:tcPr>
            <w:tcW w:w="3248" w:type="dxa"/>
            <w:tcBorders>
              <w:top w:val="nil"/>
              <w:bottom w:val="nil"/>
              <w:right w:val="nil"/>
            </w:tcBorders>
            <w:shd w:val="clear" w:color="auto" w:fill="FFFFFF"/>
            <w:vAlign w:val="center"/>
          </w:tcPr>
          <w:p w14:paraId="25014060">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 xml:space="preserve">交通运输部等12部门. (2024). 《关于进一步加强适老化无障碍出行服务工作的通知》. </w:t>
            </w:r>
          </w:p>
        </w:tc>
      </w:tr>
      <w:tr w14:paraId="1EA87E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481" w:type="dxa"/>
            <w:tcBorders>
              <w:top w:val="nil"/>
              <w:left w:val="nil"/>
              <w:bottom w:val="single" w:color="000000" w:sz="12" w:space="0"/>
              <w:right w:val="nil"/>
            </w:tcBorders>
            <w:shd w:val="clear" w:color="auto" w:fill="FFFFFF"/>
            <w:vAlign w:val="center"/>
          </w:tcPr>
          <w:p w14:paraId="5819C098">
            <w:pPr>
              <w:pStyle w:val="4"/>
              <w:bidi w:val="0"/>
              <w:snapToGrid w:val="0"/>
              <w:spacing w:line="240" w:lineRule="auto"/>
              <w:ind w:left="0" w:leftChars="0" w:right="0" w:rightChars="0" w:firstLine="0" w:firstLineChars="0"/>
              <w:jc w:val="center"/>
              <w:rPr>
                <w:rFonts w:ascii="Arial" w:eastAsia="楷体"/>
                <w:b w:val="0"/>
                <w:sz w:val="15"/>
                <w:szCs w:val="15"/>
              </w:rPr>
            </w:pPr>
            <w:r>
              <w:rPr>
                <w:rFonts w:ascii="Arial" w:eastAsia="楷体"/>
                <w:b w:val="0"/>
                <w:sz w:val="15"/>
                <w:szCs w:val="15"/>
                <w:lang w:val="en-US" w:eastAsia="zh-CN"/>
              </w:rPr>
              <w:t>2025</w:t>
            </w:r>
          </w:p>
        </w:tc>
        <w:tc>
          <w:tcPr>
            <w:tcW w:w="890" w:type="dxa"/>
            <w:tcBorders>
              <w:top w:val="nil"/>
              <w:bottom w:val="single" w:color="000000" w:sz="12" w:space="0"/>
              <w:right w:val="nil"/>
            </w:tcBorders>
            <w:shd w:val="clear" w:color="auto" w:fill="FFFFFF"/>
            <w:vAlign w:val="center"/>
          </w:tcPr>
          <w:p w14:paraId="51669BE5">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城乡无障碍设施系统性覆盖率目标</w:t>
            </w:r>
          </w:p>
        </w:tc>
        <w:tc>
          <w:tcPr>
            <w:tcW w:w="722" w:type="dxa"/>
            <w:tcBorders>
              <w:top w:val="nil"/>
              <w:bottom w:val="single" w:color="000000" w:sz="12" w:space="0"/>
              <w:right w:val="nil"/>
            </w:tcBorders>
            <w:shd w:val="clear" w:color="auto" w:fill="FFFFFF"/>
            <w:vAlign w:val="center"/>
          </w:tcPr>
          <w:p w14:paraId="3C03B988">
            <w:pPr>
              <w:pStyle w:val="4"/>
              <w:bidi w:val="0"/>
              <w:snapToGrid w:val="0"/>
              <w:spacing w:line="240" w:lineRule="auto"/>
              <w:ind w:left="0" w:leftChars="0" w:right="0" w:rightChars="0" w:firstLine="0" w:firstLineChars="0"/>
              <w:jc w:val="center"/>
              <w:rPr>
                <w:rFonts w:ascii="Arial" w:eastAsia="楷体"/>
                <w:b w:val="0"/>
                <w:sz w:val="15"/>
                <w:szCs w:val="15"/>
              </w:rPr>
            </w:pPr>
            <w:r>
              <w:rPr>
                <w:rFonts w:hint="eastAsia"/>
                <w:b w:val="0"/>
                <w:sz w:val="15"/>
                <w:szCs w:val="15"/>
                <w:lang w:val="en-US" w:eastAsia="zh-CN"/>
              </w:rPr>
              <w:t>预计达到</w:t>
            </w:r>
            <w:r>
              <w:rPr>
                <w:rFonts w:ascii="Arial" w:eastAsia="楷体"/>
                <w:b w:val="0"/>
                <w:sz w:val="15"/>
                <w:szCs w:val="15"/>
                <w:lang w:val="en-US" w:eastAsia="zh-CN"/>
              </w:rPr>
              <w:t>9</w:t>
            </w:r>
            <w:r>
              <w:rPr>
                <w:rFonts w:hint="eastAsia"/>
                <w:b w:val="0"/>
                <w:sz w:val="15"/>
                <w:szCs w:val="15"/>
                <w:lang w:val="en-US" w:eastAsia="zh-CN"/>
              </w:rPr>
              <w:t>6.8</w:t>
            </w:r>
            <w:r>
              <w:rPr>
                <w:rFonts w:ascii="Arial" w:eastAsia="楷体"/>
                <w:b w:val="0"/>
                <w:sz w:val="15"/>
                <w:szCs w:val="15"/>
                <w:lang w:val="en-US" w:eastAsia="zh-CN"/>
              </w:rPr>
              <w:t>%</w:t>
            </w:r>
          </w:p>
        </w:tc>
        <w:tc>
          <w:tcPr>
            <w:tcW w:w="3001" w:type="dxa"/>
            <w:tcBorders>
              <w:top w:val="nil"/>
              <w:bottom w:val="single" w:color="000000" w:sz="12" w:space="0"/>
              <w:right w:val="nil"/>
            </w:tcBorders>
            <w:shd w:val="clear" w:color="auto" w:fill="FFFFFF"/>
            <w:vAlign w:val="center"/>
          </w:tcPr>
          <w:p w14:paraId="2C25E476">
            <w:pPr>
              <w:pStyle w:val="4"/>
              <w:bidi w:val="0"/>
              <w:snapToGrid w:val="0"/>
              <w:spacing w:line="240" w:lineRule="auto"/>
              <w:ind w:left="0" w:leftChars="0" w:right="0" w:rightChars="0" w:firstLine="0" w:firstLineChars="0"/>
              <w:jc w:val="left"/>
              <w:rPr>
                <w:rFonts w:ascii="Arial" w:eastAsia="楷体"/>
                <w:b w:val="0"/>
                <w:sz w:val="15"/>
                <w:szCs w:val="15"/>
              </w:rPr>
            </w:pPr>
            <w:r>
              <w:rPr>
                <w:rFonts w:hint="eastAsia"/>
                <w:b w:val="0"/>
                <w:sz w:val="15"/>
                <w:szCs w:val="15"/>
                <w:lang w:val="en-US" w:eastAsia="zh-CN"/>
              </w:rPr>
              <w:t>将</w:t>
            </w:r>
            <w:r>
              <w:rPr>
                <w:rFonts w:ascii="Arial" w:eastAsia="楷体"/>
                <w:b w:val="0"/>
                <w:sz w:val="15"/>
                <w:szCs w:val="15"/>
                <w:lang w:val="en-US" w:eastAsia="zh-CN"/>
              </w:rPr>
              <w:t>支持110万户家庭改造；公共交通工具（如低地板公交）推广覆盖率≥75%，示范城市达标率提升。</w:t>
            </w:r>
          </w:p>
        </w:tc>
        <w:tc>
          <w:tcPr>
            <w:tcW w:w="3248" w:type="dxa"/>
            <w:tcBorders>
              <w:top w:val="nil"/>
              <w:bottom w:val="single" w:color="000000" w:sz="12" w:space="0"/>
              <w:right w:val="nil"/>
            </w:tcBorders>
            <w:shd w:val="clear" w:color="auto" w:fill="FFFFFF"/>
            <w:vAlign w:val="center"/>
          </w:tcPr>
          <w:p w14:paraId="75600F23">
            <w:pPr>
              <w:pStyle w:val="4"/>
              <w:bidi w:val="0"/>
              <w:snapToGrid w:val="0"/>
              <w:spacing w:line="240" w:lineRule="auto"/>
              <w:ind w:left="0" w:leftChars="0" w:right="0" w:rightChars="0" w:firstLine="0" w:firstLineChars="0"/>
              <w:jc w:val="left"/>
              <w:rPr>
                <w:rFonts w:ascii="Arial" w:eastAsia="楷体"/>
                <w:b w:val="0"/>
                <w:sz w:val="15"/>
                <w:szCs w:val="15"/>
              </w:rPr>
            </w:pPr>
            <w:r>
              <w:rPr>
                <w:rFonts w:ascii="Arial" w:eastAsia="楷体"/>
                <w:b w:val="0"/>
                <w:sz w:val="15"/>
                <w:szCs w:val="15"/>
                <w:lang w:val="en-US" w:eastAsia="zh-CN"/>
              </w:rPr>
              <w:t>中国残疾人联合会. (2025).</w:t>
            </w:r>
            <w:bookmarkStart w:id="0" w:name="_GoBack"/>
            <w:r>
              <w:rPr>
                <w:rFonts w:ascii="Arial" w:eastAsia="楷体"/>
                <w:b w:val="0"/>
                <w:sz w:val="15"/>
                <w:szCs w:val="15"/>
                <w:lang w:val="en-US" w:eastAsia="zh-CN"/>
              </w:rPr>
              <w:t xml:space="preserve"> 《“十四五”残疾人事业发展规划中期评估报告》.</w:t>
            </w:r>
            <w:bookmarkEnd w:id="0"/>
          </w:p>
        </w:tc>
      </w:tr>
    </w:tbl>
    <w:p w14:paraId="016BAD2F">
      <w:pPr>
        <w:pStyle w:val="4"/>
        <w:jc w:val="center"/>
        <w:rPr>
          <w:rFonts w:hint="default"/>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：覆盖率来源以及推算说明</w:t>
      </w:r>
    </w:p>
    <w:p w14:paraId="5586AD2F">
      <w:pPr>
        <w:numPr>
          <w:ilvl w:val="0"/>
          <w:numId w:val="0"/>
        </w:numPr>
        <w:rPr>
          <w:rFonts w:hint="eastAsia"/>
          <w:lang w:val="en-US" w:eastAsia="zh-CN"/>
        </w:rPr>
      </w:pPr>
      <w:r>
        <w:rPr>
          <w:rFonts w:hint="eastAsia" w:ascii="楷体" w:hAnsi="楷体" w:eastAsia="楷体" w:cs="楷体"/>
          <w:lang w:val="en-US" w:eastAsia="zh-CN"/>
        </w:rPr>
        <w:t>（特殊说明：在表格中2022到2024覆盖率出现大幅提升，在这里，我合理推测是因为疫情期间，不可抗原因导致统计数据出现多项缺失，线性耦合时考虑到前期增长缓慢和疫情后已落实全面覆盖政策两方面影响，所以算出偏保守的值。）</w:t>
      </w:r>
    </w:p>
    <w:p w14:paraId="07A3D19B">
      <w:pPr>
        <w:numPr>
          <w:ilvl w:val="0"/>
          <w:numId w:val="0"/>
        </w:numPr>
        <w:ind w:firstLine="480" w:firstLineChars="200"/>
        <w:rPr>
          <w:rFonts w:hint="eastAsia"/>
          <w:lang w:val="en-US" w:eastAsia="zh-CN"/>
        </w:rPr>
      </w:pPr>
      <w:r>
        <w:rPr>
          <w:rFonts w:hint="eastAsia"/>
          <w:lang w:val="en-US" w:eastAsia="zh-CN"/>
        </w:rPr>
        <w:t>从1982年《宪法》写入残疾人权利保障开始，无障碍建设进入基础阶段，发展缓慢，覆盖率趋势线几乎平缓，反映了早期政策理念引入但设施落地滞后的现实。随后，2008年北京奥运会示范和2012年《无障碍环境建设条例》颁布推动法制阶段跃升，覆盖率持续加速，但仍未达80%政策目标线，体现“时间差”——政策密集先行，而实际覆盖需时间追赶。进入2023年《无障碍环境建设法》施行后的优化阶段，覆盖率曲线快速上扬至95%，服务指标占比提升。</w:t>
      </w:r>
    </w:p>
    <w:p w14:paraId="445706B3">
      <w:pPr>
        <w:numPr>
          <w:ilvl w:val="0"/>
          <w:numId w:val="0"/>
        </w:numPr>
      </w:pPr>
      <w:r>
        <w:drawing>
          <wp:inline distT="0" distB="0" distL="114300" distR="114300">
            <wp:extent cx="5437505" cy="1035685"/>
            <wp:effectExtent l="0" t="0" r="3175" b="63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437505" cy="1035685"/>
                    </a:xfrm>
                    <a:prstGeom prst="rect">
                      <a:avLst/>
                    </a:prstGeom>
                    <a:noFill/>
                    <a:ln>
                      <a:noFill/>
                    </a:ln>
                  </pic:spPr>
                </pic:pic>
              </a:graphicData>
            </a:graphic>
          </wp:inline>
        </w:drawing>
      </w:r>
    </w:p>
    <w:p w14:paraId="2F415374">
      <w:pPr>
        <w:pStyle w:val="4"/>
        <w:numPr>
          <w:ilvl w:val="0"/>
          <w:numId w:val="0"/>
        </w:numPr>
        <w:jc w:val="center"/>
        <w:rPr>
          <w:rFonts w:hint="eastAsia" w:eastAsia="宋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：关键数据补充（基于 《“十四五”残疾人事业发展规划中期评估报告》）</w:t>
      </w:r>
    </w:p>
    <w:p w14:paraId="3C6B6BFF">
      <w:pPr>
        <w:numPr>
          <w:ilvl w:val="0"/>
          <w:numId w:val="0"/>
        </w:numPr>
        <w:ind w:firstLine="480" w:firstLineChars="200"/>
        <w:rPr>
          <w:rFonts w:hint="eastAsia"/>
          <w:lang w:val="en-US" w:eastAsia="zh-CN"/>
        </w:rPr>
      </w:pPr>
      <w:r>
        <w:rPr>
          <w:rFonts w:hint="eastAsia"/>
          <w:lang w:val="en-US" w:eastAsia="zh-CN"/>
        </w:rPr>
        <w:t>但历史遗留问题（如老旧设施维护不足，困难家庭维护改造）仍存。整体数据分析表明，“高度差争议”并非郑智化事件的孤例，而是系统性短板：早期建设起步迟缓（市县比例低），中期法制虽加速但执行不均，后期优化虽显著但未完全化解积累矛盾。这验证了事件根源在于政策-设施-认知的演进不平衡，为改进提供历史镜鉴。</w:t>
      </w:r>
    </w:p>
    <w:p w14:paraId="38517AAA">
      <w:pPr>
        <w:numPr>
          <w:ilvl w:val="0"/>
          <w:numId w:val="0"/>
        </w:numPr>
        <w:ind w:firstLine="480" w:firstLineChars="200"/>
        <w:rPr>
          <w:rFonts w:hint="eastAsia"/>
          <w:lang w:val="en-US" w:eastAsia="zh-CN"/>
        </w:rPr>
      </w:pPr>
      <w:r>
        <w:rPr>
          <w:rFonts w:hint="eastAsia"/>
          <w:lang w:val="en-US" w:eastAsia="zh-CN"/>
        </w:rPr>
        <w:t>然而，历史维度仅揭示根源，无法量化当前设施覆盖与实际体验的矛盾。因此，下节转入现状问题维度：运用“数据矛盾点”拆解“覆盖-使用-满意”差距，揭示可量化落差。</w:t>
      </w:r>
    </w:p>
    <w:p w14:paraId="6ACA3BB4">
      <w:pPr>
        <w:numPr>
          <w:ilvl w:val="0"/>
          <w:numId w:val="0"/>
        </w:numPr>
        <w:ind w:firstLine="482" w:firstLineChars="200"/>
        <w:rPr>
          <w:rFonts w:hint="eastAsia"/>
          <w:b/>
          <w:bCs/>
          <w:lang w:val="en-US" w:eastAsia="zh-CN"/>
        </w:rPr>
      </w:pPr>
    </w:p>
    <w:p w14:paraId="430F787C">
      <w:pPr>
        <w:numPr>
          <w:ilvl w:val="0"/>
          <w:numId w:val="0"/>
        </w:numPr>
        <w:rPr>
          <w:rFonts w:hint="eastAsia"/>
          <w:b/>
          <w:bCs/>
        </w:rPr>
      </w:pPr>
      <w:r>
        <w:rPr>
          <w:rFonts w:hint="eastAsia" w:ascii="Times New Roman" w:hAnsi="Times New Roman" w:eastAsia="宋体" w:cs="宋体"/>
          <w:b/>
          <w:bCs/>
          <w:color w:val="000000"/>
          <w:kern w:val="0"/>
          <w:sz w:val="24"/>
          <w:szCs w:val="21"/>
          <w:lang w:val="en-US" w:eastAsia="zh-CN" w:bidi="ar-SA"/>
        </w:rPr>
        <w:t>（二）</w:t>
      </w:r>
      <w:r>
        <w:rPr>
          <w:rFonts w:hint="eastAsia"/>
          <w:b/>
          <w:bCs/>
        </w:rPr>
        <w:t>用“数据矛盾点”拆解“覆盖-使用-满意”差距</w:t>
      </w:r>
    </w:p>
    <w:p w14:paraId="2528CF99">
      <w:pPr>
        <w:numPr>
          <w:ilvl w:val="0"/>
          <w:numId w:val="0"/>
        </w:numPr>
        <w:rPr>
          <w:rFonts w:hint="eastAsia"/>
          <w:b/>
          <w:bCs/>
          <w:lang w:val="en-US" w:eastAsia="zh-CN"/>
        </w:rPr>
      </w:pPr>
      <w:r>
        <w:rPr>
          <w:rFonts w:hint="eastAsia"/>
          <w:b/>
          <w:bCs/>
          <w:lang w:val="en-US" w:eastAsia="zh-CN"/>
        </w:rPr>
        <w:t>2.1 使用率状况</w:t>
      </w:r>
    </w:p>
    <w:p w14:paraId="13CC776D">
      <w:pPr>
        <w:numPr>
          <w:ilvl w:val="0"/>
          <w:numId w:val="0"/>
        </w:numPr>
        <w:ind w:firstLine="420" w:firstLineChars="0"/>
        <w:rPr>
          <w:rFonts w:hint="eastAsia"/>
          <w:lang w:val="en-US" w:eastAsia="zh-CN"/>
        </w:rPr>
      </w:pPr>
      <w:r>
        <w:rPr>
          <w:rFonts w:hint="eastAsia"/>
          <w:b w:val="0"/>
          <w:bCs w:val="0"/>
          <w:lang w:val="en-US" w:eastAsia="zh-CN"/>
        </w:rPr>
        <w:t>在寻找相关城市资料时，发现上一次大规模满意率普查（百城无障碍设施调查体检报告）是在2017年，为了保证报告的时效性与可靠性，这里我选取了距今时间差最小且数据最为完整的2022年广州市调查样本，进行分析。</w:t>
      </w:r>
    </w:p>
    <w:p w14:paraId="2DBFAC93">
      <w:pPr>
        <w:bidi w:val="0"/>
        <w:ind w:firstLine="480" w:firstLineChars="200"/>
        <w:rPr>
          <w:rFonts w:hint="default"/>
          <w:lang w:val="en-US" w:eastAsia="zh-CN"/>
        </w:rPr>
      </w:pPr>
      <w:r>
        <w:rPr>
          <w:rFonts w:hint="eastAsia"/>
          <w:lang w:val="en-US" w:eastAsia="zh-CN"/>
        </w:rPr>
        <w:t>广州</w:t>
      </w:r>
      <w:r>
        <w:rPr>
          <w:rFonts w:hint="default"/>
          <w:lang w:val="en-US" w:eastAsia="zh-CN"/>
        </w:rPr>
        <w:t>市作为无障碍环境建设标杆，其公共交通设施使用率数据凸显了政策驱动的显著效果。根据《广州公共交通无障碍出行公众体验与需求调查报告》（202</w:t>
      </w:r>
      <w:r>
        <w:rPr>
          <w:rFonts w:hint="eastAsia"/>
          <w:lang w:val="en-US" w:eastAsia="zh-CN"/>
        </w:rPr>
        <w:t>2</w:t>
      </w:r>
      <w:r>
        <w:rPr>
          <w:rFonts w:hint="default"/>
          <w:lang w:val="en-US" w:eastAsia="zh-CN"/>
        </w:rPr>
        <w:t>），</w:t>
      </w:r>
      <w:r>
        <w:rPr>
          <w:rFonts w:hint="eastAsia"/>
          <w:lang w:val="en-US" w:eastAsia="zh-CN"/>
        </w:rPr>
        <w:t>轮椅坡道</w:t>
      </w:r>
      <w:r>
        <w:rPr>
          <w:rFonts w:hint="default"/>
          <w:lang w:val="en-US" w:eastAsia="zh-CN"/>
        </w:rPr>
        <w:t>使用占比达</w:t>
      </w:r>
      <w:r>
        <w:rPr>
          <w:rFonts w:hint="eastAsia"/>
          <w:lang w:val="en-US" w:eastAsia="zh-CN"/>
        </w:rPr>
        <w:t>50</w:t>
      </w:r>
      <w:r>
        <w:rPr>
          <w:rFonts w:hint="default"/>
          <w:lang w:val="en-US" w:eastAsia="zh-CN"/>
        </w:rPr>
        <w:t>%，公共交通残障人士专用席位和十字路口语音提示使用比例均超过</w:t>
      </w:r>
      <w:r>
        <w:rPr>
          <w:rFonts w:hint="eastAsia"/>
          <w:lang w:val="en-US" w:eastAsia="zh-CN"/>
        </w:rPr>
        <w:t>15</w:t>
      </w:r>
      <w:r>
        <w:rPr>
          <w:rFonts w:hint="default"/>
          <w:lang w:val="en-US" w:eastAsia="zh-CN"/>
        </w:rPr>
        <w:t>%，反映出覆盖率提升直接转化为实际应用。这些数据表明，设施覆盖的“量”向使用率的“质”转化已初见成效，残疾人出行障碍有所缓解。</w:t>
      </w:r>
    </w:p>
    <w:p w14:paraId="0DA2C9E7">
      <w:pPr>
        <w:numPr>
          <w:ilvl w:val="0"/>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843655" cy="2447925"/>
            <wp:effectExtent l="0" t="0" r="12065" b="5715"/>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10"/>
                    <a:srcRect l="1770" t="16852" r="2866" b="4315"/>
                    <a:stretch>
                      <a:fillRect/>
                    </a:stretch>
                  </pic:blipFill>
                  <pic:spPr>
                    <a:xfrm>
                      <a:off x="0" y="0"/>
                      <a:ext cx="3843655" cy="2447925"/>
                    </a:xfrm>
                    <a:prstGeom prst="rect">
                      <a:avLst/>
                    </a:prstGeom>
                    <a:noFill/>
                    <a:ln w="9525">
                      <a:noFill/>
                    </a:ln>
                  </pic:spPr>
                </pic:pic>
              </a:graphicData>
            </a:graphic>
          </wp:inline>
        </w:drawing>
      </w:r>
    </w:p>
    <w:p w14:paraId="790DC044">
      <w:pPr>
        <w:pStyle w:val="4"/>
        <w:numPr>
          <w:ilvl w:val="0"/>
          <w:numId w:val="0"/>
        </w:numPr>
        <w:jc w:val="center"/>
        <w:rPr>
          <w:rFonts w:hint="eastAsia" w:ascii="宋体" w:hAnsi="宋体" w:eastAsia="宋体" w:cs="宋体"/>
          <w:sz w:val="24"/>
          <w:szCs w:val="24"/>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w:t>
      </w:r>
      <w:r>
        <w:rPr>
          <w:rFonts w:hint="eastAsia"/>
          <w:lang w:val="en-US" w:eastAsia="zh-CN"/>
        </w:rPr>
        <w:t>广州</w:t>
      </w:r>
      <w:r>
        <w:rPr>
          <w:rFonts w:hint="eastAsia"/>
          <w:lang w:eastAsia="zh-CN"/>
        </w:rPr>
        <w:t>市202</w:t>
      </w:r>
      <w:r>
        <w:rPr>
          <w:rFonts w:hint="eastAsia"/>
          <w:lang w:val="en-US" w:eastAsia="zh-CN"/>
        </w:rPr>
        <w:t>2</w:t>
      </w:r>
      <w:r>
        <w:rPr>
          <w:rFonts w:hint="eastAsia"/>
          <w:lang w:eastAsia="zh-CN"/>
        </w:rPr>
        <w:t>年公共场所使用无障碍设施情况</w:t>
      </w:r>
    </w:p>
    <w:p w14:paraId="33044D7B">
      <w:pPr>
        <w:numPr>
          <w:ilvl w:val="0"/>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242310" cy="2651760"/>
            <wp:effectExtent l="0" t="0" r="0" b="0"/>
            <wp:docPr id="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6"/>
                    <pic:cNvPicPr>
                      <a:picLocks noChangeAspect="1"/>
                    </pic:cNvPicPr>
                  </pic:nvPicPr>
                  <pic:blipFill>
                    <a:blip r:embed="rId11"/>
                    <a:srcRect l="6900" t="2104" r="4480" b="3422"/>
                    <a:stretch>
                      <a:fillRect/>
                    </a:stretch>
                  </pic:blipFill>
                  <pic:spPr>
                    <a:xfrm>
                      <a:off x="0" y="0"/>
                      <a:ext cx="3242310" cy="2651760"/>
                    </a:xfrm>
                    <a:prstGeom prst="rect">
                      <a:avLst/>
                    </a:prstGeom>
                    <a:noFill/>
                    <a:ln w="9525">
                      <a:noFill/>
                    </a:ln>
                  </pic:spPr>
                </pic:pic>
              </a:graphicData>
            </a:graphic>
          </wp:inline>
        </w:drawing>
      </w:r>
    </w:p>
    <w:p w14:paraId="04A4D159">
      <w:pPr>
        <w:pStyle w:val="4"/>
        <w:numPr>
          <w:ilvl w:val="0"/>
          <w:numId w:val="0"/>
        </w:numPr>
        <w:jc w:val="center"/>
        <w:rPr>
          <w:rFonts w:hint="default"/>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w:t>
      </w:r>
      <w:r>
        <w:rPr>
          <w:rFonts w:hint="eastAsia"/>
          <w:lang w:val="en-US" w:eastAsia="zh-CN"/>
        </w:rPr>
        <w:t>广州</w:t>
      </w:r>
      <w:r>
        <w:rPr>
          <w:rFonts w:hint="eastAsia"/>
          <w:lang w:eastAsia="zh-CN"/>
        </w:rPr>
        <w:t>市202</w:t>
      </w:r>
      <w:r>
        <w:rPr>
          <w:rFonts w:hint="eastAsia"/>
          <w:lang w:val="en-US" w:eastAsia="zh-CN"/>
        </w:rPr>
        <w:t>2</w:t>
      </w:r>
      <w:r>
        <w:rPr>
          <w:rFonts w:hint="eastAsia"/>
          <w:lang w:eastAsia="zh-CN"/>
        </w:rPr>
        <w:t>年</w:t>
      </w:r>
      <w:r>
        <w:rPr>
          <w:rFonts w:hint="eastAsia"/>
          <w:lang w:val="en-US" w:eastAsia="zh-CN"/>
        </w:rPr>
        <w:t>无障碍设施满意度调研</w:t>
      </w:r>
    </w:p>
    <w:p w14:paraId="471740BD">
      <w:pPr>
        <w:pStyle w:val="5"/>
        <w:keepNext w:val="0"/>
        <w:keepLines w:val="0"/>
        <w:widowControl/>
        <w:suppressLineNumbers w:val="0"/>
        <w:ind w:firstLine="480" w:firstLineChars="200"/>
      </w:pPr>
      <w:r>
        <w:t>然而，使用率的显著提升虽体现了设施覆盖向实际应用的积极转化，却无法全面反映用户的主观体验：高频使用可能源于出行刚需，而非设施品质的真正认可。这一辩证关系揭示了“量”与“质”的潜在张力——覆盖与使用虽已形成正向循环，但若忽略体验层面的细微落差，易掩盖设计、维护与需求的深层脱节。因此，下文转入满意度分析，通过用户感知数据的拆解，进一步揭示“覆盖-使用-满意”链条中的结构性矛盾。</w:t>
      </w:r>
    </w:p>
    <w:p w14:paraId="40D02330">
      <w:pPr>
        <w:pStyle w:val="5"/>
        <w:keepNext w:val="0"/>
        <w:keepLines w:val="0"/>
        <w:widowControl/>
        <w:suppressLineNumbers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369945" cy="3093085"/>
            <wp:effectExtent l="0" t="0" r="13335" b="635"/>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2"/>
                    <a:srcRect l="1289" t="887" r="1409" b="2400"/>
                    <a:stretch>
                      <a:fillRect/>
                    </a:stretch>
                  </pic:blipFill>
                  <pic:spPr>
                    <a:xfrm>
                      <a:off x="0" y="0"/>
                      <a:ext cx="3369945" cy="3093085"/>
                    </a:xfrm>
                    <a:prstGeom prst="rect">
                      <a:avLst/>
                    </a:prstGeom>
                    <a:noFill/>
                    <a:ln w="9525">
                      <a:noFill/>
                    </a:ln>
                  </pic:spPr>
                </pic:pic>
              </a:graphicData>
            </a:graphic>
          </wp:inline>
        </w:drawing>
      </w:r>
    </w:p>
    <w:p w14:paraId="1DB22F72">
      <w:pPr>
        <w:pStyle w:val="4"/>
        <w:keepNext w:val="0"/>
        <w:keepLines w:val="0"/>
        <w:widowControl/>
        <w:suppressLineNumbers w:val="0"/>
        <w:jc w:val="center"/>
        <w:rPr>
          <w:rFonts w:hint="eastAsia"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：广州市2022年残障人士对公共无障碍设施的困难调研</w:t>
      </w:r>
    </w:p>
    <w:p w14:paraId="2DC0A810">
      <w:pPr>
        <w:numPr>
          <w:ilvl w:val="0"/>
          <w:numId w:val="0"/>
        </w:numPr>
        <w:rPr>
          <w:rFonts w:hint="eastAsia"/>
          <w:b/>
          <w:bCs/>
        </w:rPr>
      </w:pPr>
      <w:r>
        <w:rPr>
          <w:rFonts w:hint="eastAsia"/>
          <w:b/>
          <w:bCs/>
          <w:lang w:val="en-US" w:eastAsia="zh-CN"/>
        </w:rPr>
        <w:t>2.2满意度与覆盖率间的矛盾</w:t>
      </w:r>
    </w:p>
    <w:p w14:paraId="6E613EC4">
      <w:pPr>
        <w:numPr>
          <w:ilvl w:val="0"/>
          <w:numId w:val="0"/>
        </w:numPr>
        <w:ind w:firstLine="480" w:firstLineChars="200"/>
        <w:rPr>
          <w:rFonts w:hint="eastAsia"/>
          <w:lang w:val="en-US" w:eastAsia="zh-CN"/>
        </w:rPr>
      </w:pPr>
      <w:r>
        <w:rPr>
          <w:rFonts w:hint="eastAsia"/>
          <w:lang w:val="en-US" w:eastAsia="zh-CN"/>
        </w:rPr>
        <w:t>在当前中国公共交通无障碍设施建设中，“需求与设计之间的矛盾”凸显为显著的数据落差：一方面，2022年政策推动下覆盖率已达80%左右，但另一方面，用户实际需求（如安全、便利设计）与设施执行存在脱节，导致满意度滞后。典型案例见广州2022年无障碍环境满意度调查报告：盲道满意度仅66%，过街天桥和地铁入口设计不合理（占用率高、维护差）。这一矛盾源于设计标准偏重“有无”而忽略“优劣”——需求调研显示，17%用户优先改善楼梯/台阶无障碍，14%聚焦升降平台，但实际部署未匹配人口密度和使用场景。</w:t>
      </w:r>
    </w:p>
    <w:p w14:paraId="533AF4BC">
      <w:pPr>
        <w:numPr>
          <w:ilvl w:val="0"/>
          <w:numId w:val="0"/>
        </w:numPr>
        <w:jc w:val="center"/>
        <w:rPr>
          <w:rFonts w:hint="eastAsia"/>
          <w:lang w:val="en-US" w:eastAsia="zh-CN"/>
        </w:rPr>
      </w:pPr>
      <w:r>
        <w:rPr>
          <w:rFonts w:hint="eastAsia"/>
          <w:lang w:val="en-US" w:eastAsia="zh-CN"/>
        </w:rPr>
        <w:drawing>
          <wp:inline distT="0" distB="0" distL="114300" distR="114300">
            <wp:extent cx="3237230" cy="3444875"/>
            <wp:effectExtent l="0" t="0" r="8890" b="14605"/>
            <wp:docPr id="2" name="图片 2" descr="广州无障碍设施满意度_雷达美图_完美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广州无障碍设施满意度_雷达美图_完美版"/>
                    <pic:cNvPicPr>
                      <a:picLocks noChangeAspect="1"/>
                    </pic:cNvPicPr>
                  </pic:nvPicPr>
                  <pic:blipFill>
                    <a:blip r:embed="rId13"/>
                    <a:stretch>
                      <a:fillRect/>
                    </a:stretch>
                  </pic:blipFill>
                  <pic:spPr>
                    <a:xfrm>
                      <a:off x="0" y="0"/>
                      <a:ext cx="3237230" cy="3444875"/>
                    </a:xfrm>
                    <a:prstGeom prst="rect">
                      <a:avLst/>
                    </a:prstGeom>
                  </pic:spPr>
                </pic:pic>
              </a:graphicData>
            </a:graphic>
          </wp:inline>
        </w:drawing>
      </w:r>
    </w:p>
    <w:p w14:paraId="32FBBCD5">
      <w:pPr>
        <w:pStyle w:val="4"/>
        <w:numPr>
          <w:ilvl w:val="0"/>
          <w:numId w:val="0"/>
        </w:numPr>
        <w:jc w:val="center"/>
        <w:rPr>
          <w:rFonts w:hint="eastAsia" w:eastAsia="宋体"/>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：广州市2022年公共场所无障碍设施满意度雷达警示图</w:t>
      </w:r>
    </w:p>
    <w:p w14:paraId="2574E7EE">
      <w:pPr>
        <w:numPr>
          <w:ilvl w:val="0"/>
          <w:numId w:val="0"/>
        </w:numPr>
        <w:rPr>
          <w:rFonts w:hint="eastAsia"/>
          <w:lang w:val="en-US" w:eastAsia="zh-CN"/>
        </w:rPr>
      </w:pPr>
    </w:p>
    <w:p w14:paraId="024A1E37">
      <w:pPr>
        <w:numPr>
          <w:ilvl w:val="0"/>
          <w:numId w:val="0"/>
        </w:numPr>
        <w:rPr>
          <w:rFonts w:hint="eastAsia"/>
          <w:b/>
          <w:bCs/>
          <w:lang w:val="en-US" w:eastAsia="zh-CN"/>
        </w:rPr>
      </w:pPr>
    </w:p>
    <w:p w14:paraId="1BB3D06C">
      <w:pPr>
        <w:numPr>
          <w:ilvl w:val="0"/>
          <w:numId w:val="0"/>
        </w:numPr>
        <w:rPr>
          <w:rFonts w:hint="eastAsia"/>
          <w:b/>
          <w:bCs/>
          <w:lang w:val="en-US" w:eastAsia="zh-CN"/>
        </w:rPr>
      </w:pPr>
      <w:r>
        <w:rPr>
          <w:rFonts w:hint="eastAsia"/>
          <w:b/>
          <w:bCs/>
          <w:lang w:val="en-US" w:eastAsia="zh-CN"/>
        </w:rPr>
        <w:t>2.3 区域差异</w:t>
      </w:r>
    </w:p>
    <w:p w14:paraId="6CD846B1">
      <w:pPr>
        <w:ind w:firstLine="480" w:firstLineChars="200"/>
        <w:jc w:val="both"/>
        <w:rPr>
          <w:rFonts w:hint="default" w:eastAsia="宋体"/>
          <w:lang w:val="en-US" w:eastAsia="zh-CN"/>
        </w:rPr>
      </w:pPr>
      <w:r>
        <w:rPr>
          <w:rFonts w:hint="default" w:eastAsia="宋体"/>
          <w:lang w:val="en-US" w:eastAsia="zh-CN"/>
        </w:rPr>
        <w:t>广州市2022年无障碍环境满意度调查揭示了典型的区域不协调现象：残障人士需求最密集的天河区（受访残障人士占比15.29%）满意度高达84%，位列全市第一；而需求同样较高的番禺区（11.18%）、花都区（4.5%）、增城区（4.2%）等郊县区）满意度却仅为60-69%，与天河区相差15-24个百分点。区组平均值进一步放大这一落差：老城区82.7%、新城区77.8%、郊县区66.8%，郊县区比老城区低15.9个百分点。残障人士居住比例与满意度呈明显负相关，即需求密度越高的区域反而越难获得与之匹配的设施质量，形成“越需要越得不到”的结构性悖论。</w:t>
      </w:r>
    </w:p>
    <w:p w14:paraId="0E93D44B">
      <w:pPr>
        <w:numPr>
          <w:ilvl w:val="0"/>
          <w:numId w:val="0"/>
        </w:numPr>
        <w:rPr>
          <w:rFonts w:hint="default"/>
          <w:b/>
          <w:bCs/>
          <w:lang w:val="en-US" w:eastAsia="zh-CN"/>
        </w:rPr>
      </w:pPr>
    </w:p>
    <w:p w14:paraId="385442CE">
      <w:pPr>
        <w:numPr>
          <w:ilvl w:val="0"/>
          <w:numId w:val="0"/>
        </w:numPr>
        <w:rPr>
          <w:rFonts w:hint="eastAsia"/>
          <w:lang w:val="en-US" w:eastAsia="zh-CN"/>
        </w:rPr>
      </w:pPr>
      <w:r>
        <w:rPr>
          <w:rFonts w:hint="eastAsia"/>
          <w:lang w:val="en-US" w:eastAsia="zh-CN"/>
        </w:rPr>
        <w:drawing>
          <wp:inline distT="0" distB="0" distL="114300" distR="114300">
            <wp:extent cx="5271770" cy="3641090"/>
            <wp:effectExtent l="0" t="0" r="1270" b="1270"/>
            <wp:docPr id="13" name="图片 13" descr="广州_需求密度vs满意度_气泡图_完美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广州_需求密度vs满意度_气泡图_完美版"/>
                    <pic:cNvPicPr>
                      <a:picLocks noChangeAspect="1"/>
                    </pic:cNvPicPr>
                  </pic:nvPicPr>
                  <pic:blipFill>
                    <a:blip r:embed="rId14"/>
                    <a:stretch>
                      <a:fillRect/>
                    </a:stretch>
                  </pic:blipFill>
                  <pic:spPr>
                    <a:xfrm>
                      <a:off x="0" y="0"/>
                      <a:ext cx="5271770" cy="3641090"/>
                    </a:xfrm>
                    <a:prstGeom prst="rect">
                      <a:avLst/>
                    </a:prstGeom>
                  </pic:spPr>
                </pic:pic>
              </a:graphicData>
            </a:graphic>
          </wp:inline>
        </w:drawing>
      </w:r>
    </w:p>
    <w:p w14:paraId="57741D27">
      <w:pPr>
        <w:pStyle w:val="4"/>
        <w:numPr>
          <w:ilvl w:val="0"/>
          <w:numId w:val="0"/>
        </w:numPr>
        <w:jc w:val="center"/>
        <w:rPr>
          <w:rFonts w:hint="default"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：广州市2022年无障碍环境满意度区级</w:t>
      </w:r>
      <w:r>
        <w:rPr>
          <w:rFonts w:hint="eastAsia"/>
          <w:lang w:val="en-US" w:eastAsia="zh-CN"/>
        </w:rPr>
        <w:t>需求与满意度气泡图</w:t>
      </w:r>
    </w:p>
    <w:p w14:paraId="634EBA2B">
      <w:pPr>
        <w:ind w:firstLine="480" w:firstLineChars="200"/>
        <w:jc w:val="both"/>
        <w:rPr>
          <w:rFonts w:hint="default" w:eastAsia="宋体"/>
          <w:lang w:val="en-US" w:eastAsia="zh-CN"/>
        </w:rPr>
      </w:pPr>
      <w:r>
        <w:rPr>
          <w:rFonts w:hint="eastAsia"/>
          <w:lang w:val="en-US" w:eastAsia="zh-CN"/>
        </w:rPr>
        <w:t>在我看来，满意率不理想以及</w:t>
      </w:r>
      <w:r>
        <w:rPr>
          <w:rFonts w:hint="default" w:eastAsia="宋体"/>
          <w:lang w:val="en-US" w:eastAsia="zh-CN"/>
        </w:rPr>
        <w:t>区域不协调的深层原因在于资源配置与需求分布的严重脱节。老城区因历史积累与政策倾斜，设施更新快、维护频次高，叠加人口密度大带来的高曝光度，满意度自然居高不下；新城区依托近年大规模开发，同步落实无障碍标准；而郊县区受财政、监管半径和管理能力限制，设施建设滞后、维护缺位，改造优先级长期靠后，导致“最后一公里”成为最薄弱环节。加之残障人士随城市扩张向外围迁移的趋势不断加剧，需求外溢与供给内缩形成剪刀差，最终表现为郊区残障群体虽迫切需要却最难满意的现实困境。这一错配不仅是广州的个案，更折射出全国多数城市在无障碍建设中普遍存在的“中心-外围”失衡问题。</w:t>
      </w:r>
    </w:p>
    <w:p w14:paraId="6C708D75">
      <w:pPr>
        <w:ind w:firstLine="480" w:firstLineChars="200"/>
        <w:jc w:val="both"/>
        <w:rPr>
          <w:rFonts w:hint="default" w:eastAsia="宋体"/>
          <w:lang w:val="en-US" w:eastAsia="zh-CN"/>
        </w:rPr>
      </w:pPr>
    </w:p>
    <w:p w14:paraId="2ED36AB5">
      <w:pPr>
        <w:numPr>
          <w:ilvl w:val="0"/>
          <w:numId w:val="0"/>
        </w:numPr>
        <w:ind w:left="0" w:leftChars="0" w:firstLine="0" w:firstLineChars="0"/>
        <w:jc w:val="both"/>
        <w:rPr>
          <w:rFonts w:hint="eastAsia"/>
          <w:b/>
          <w:bCs/>
        </w:rPr>
      </w:pPr>
      <w:r>
        <w:rPr>
          <w:rFonts w:hint="eastAsia" w:ascii="Times New Roman" w:hAnsi="Times New Roman" w:eastAsia="宋体" w:cs="宋体"/>
          <w:b/>
          <w:bCs/>
          <w:color w:val="000000"/>
          <w:kern w:val="0"/>
          <w:sz w:val="24"/>
          <w:szCs w:val="21"/>
          <w:lang w:val="en-US" w:eastAsia="zh-CN" w:bidi="ar-SA"/>
        </w:rPr>
        <w:t>（三）</w:t>
      </w:r>
      <w:r>
        <w:rPr>
          <w:rFonts w:hint="eastAsia"/>
          <w:b/>
          <w:bCs/>
          <w:lang w:val="en-US" w:eastAsia="zh-CN"/>
        </w:rPr>
        <w:t>从政策对比</w:t>
      </w:r>
      <w:r>
        <w:rPr>
          <w:rFonts w:hint="eastAsia"/>
          <w:b/>
          <w:bCs/>
        </w:rPr>
        <w:t>提炼国际经验的可落地性</w:t>
      </w:r>
    </w:p>
    <w:p w14:paraId="08531F3F">
      <w:pPr>
        <w:bidi w:val="0"/>
        <w:ind w:firstLine="420" w:firstLineChars="0"/>
        <w:rPr>
          <w:rFonts w:hint="eastAsia"/>
          <w:lang w:val="en-US" w:eastAsia="zh-CN"/>
        </w:rPr>
      </w:pPr>
      <w:r>
        <w:rPr>
          <w:rFonts w:hint="eastAsia"/>
          <w:lang w:val="en-US" w:eastAsia="zh-CN"/>
        </w:rPr>
        <w:t>本节我将对比我国与日本、加拿大的各项无障碍设施建设的方面，来更好的说明我们可以借鉴的国际经验。通过收集加拿大和日本的官方数据统计平台，以“disability facility”为关键词进行相应的内容收集与对比。</w:t>
      </w:r>
    </w:p>
    <w:tbl>
      <w:tblPr>
        <w:tblStyle w:val="7"/>
        <w:tblpPr w:leftFromText="180" w:rightFromText="180" w:vertAnchor="text" w:tblpX="10214" w:tblpY="2040"/>
        <w:tblOverlap w:val="never"/>
        <w:tblW w:w="0" w:type="auto"/>
        <w:tblInd w:w="0"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autofit"/>
        <w:tblCellMar>
          <w:top w:w="0" w:type="dxa"/>
          <w:left w:w="108" w:type="dxa"/>
          <w:bottom w:w="0" w:type="dxa"/>
          <w:right w:w="108" w:type="dxa"/>
        </w:tblCellMar>
      </w:tblPr>
      <w:tblGrid>
        <w:gridCol w:w="3089"/>
      </w:tblGrid>
      <w:tr w14:paraId="24E559CF">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0" w:hRule="atLeast"/>
        </w:trPr>
        <w:tc>
          <w:tcPr>
            <w:tcW w:w="3089" w:type="dxa"/>
          </w:tcPr>
          <w:p w14:paraId="3FC22651">
            <w:pPr>
              <w:bidi w:val="0"/>
              <w:rPr>
                <w:vertAlign w:val="baseline"/>
              </w:rPr>
            </w:pPr>
          </w:p>
        </w:tc>
      </w:tr>
    </w:tbl>
    <w:tbl>
      <w:tblPr>
        <w:tblStyle w:val="7"/>
        <w:tblpPr w:leftFromText="180" w:rightFromText="180" w:vertAnchor="text" w:tblpX="10214" w:tblpY="2494"/>
        <w:tblOverlap w:val="never"/>
        <w:tblW w:w="0" w:type="auto"/>
        <w:tblInd w:w="0"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autofit"/>
        <w:tblCellMar>
          <w:top w:w="0" w:type="dxa"/>
          <w:left w:w="108" w:type="dxa"/>
          <w:bottom w:w="0" w:type="dxa"/>
          <w:right w:w="108" w:type="dxa"/>
        </w:tblCellMar>
      </w:tblPr>
      <w:tblGrid>
        <w:gridCol w:w="1703"/>
      </w:tblGrid>
      <w:tr w14:paraId="6D8AACCE">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0" w:hRule="atLeast"/>
        </w:trPr>
        <w:tc>
          <w:tcPr>
            <w:tcW w:w="1703" w:type="dxa"/>
            <w:vAlign w:val="top"/>
          </w:tcPr>
          <w:p w14:paraId="6C0C9C66">
            <w:pPr>
              <w:bidi w:val="0"/>
              <w:jc w:val="both"/>
              <w:rPr>
                <w:vertAlign w:val="baseline"/>
              </w:rPr>
            </w:pPr>
          </w:p>
        </w:tc>
      </w:tr>
    </w:tbl>
    <w:p w14:paraId="224EB655">
      <w:pPr>
        <w:bidi w:val="0"/>
      </w:pPr>
      <w:r>
        <w:drawing>
          <wp:inline distT="0" distB="0" distL="114300" distR="114300">
            <wp:extent cx="2439670" cy="1708150"/>
            <wp:effectExtent l="0" t="0" r="1397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2439670" cy="17081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81250" cy="1675765"/>
            <wp:effectExtent l="0" t="0" r="1143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2381250" cy="1675765"/>
                    </a:xfrm>
                    <a:prstGeom prst="rect">
                      <a:avLst/>
                    </a:prstGeom>
                    <a:noFill/>
                    <a:ln>
                      <a:noFill/>
                    </a:ln>
                  </pic:spPr>
                </pic:pic>
              </a:graphicData>
            </a:graphic>
          </wp:inline>
        </w:drawing>
      </w:r>
    </w:p>
    <w:p w14:paraId="4FAC2DFB">
      <w:pPr>
        <w:pStyle w:val="4"/>
        <w:bidi w:val="0"/>
        <w:ind w:firstLine="2800" w:firstLineChars="1400"/>
        <w:rPr>
          <w:rFonts w:hint="default"/>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：加拿大</w:t>
      </w:r>
      <w:r>
        <w:rPr>
          <w:rFonts w:hint="eastAsia"/>
          <w:lang w:val="en-US" w:eastAsia="zh-CN"/>
        </w:rPr>
        <w:t>和日本</w:t>
      </w:r>
      <w:r>
        <w:rPr>
          <w:rFonts w:hint="eastAsia"/>
          <w:lang w:eastAsia="zh-CN"/>
        </w:rPr>
        <w:t>统计局官网</w:t>
      </w:r>
      <w:r>
        <w:rPr>
          <w:rFonts w:hint="eastAsia"/>
          <w:lang w:val="en-US" w:eastAsia="zh-CN"/>
        </w:rPr>
        <w:t xml:space="preserve">    </w:t>
      </w:r>
    </w:p>
    <w:p w14:paraId="34F82C89">
      <w:pPr>
        <w:numPr>
          <w:ilvl w:val="0"/>
          <w:numId w:val="0"/>
        </w:numPr>
        <w:jc w:val="both"/>
        <w:rPr>
          <w:rFonts w:hint="eastAsia"/>
          <w:b/>
          <w:bCs/>
          <w:lang w:val="en-US" w:eastAsia="zh-CN"/>
        </w:rPr>
      </w:pPr>
    </w:p>
    <w:p w14:paraId="0A5BB49D">
      <w:pPr>
        <w:bidi w:val="0"/>
        <w:ind w:firstLine="480" w:firstLineChars="200"/>
        <w:rPr>
          <w:rFonts w:hint="eastAsia"/>
          <w:lang w:val="en-US" w:eastAsia="zh-CN"/>
        </w:rPr>
      </w:pPr>
      <w:r>
        <w:t>政策对比表格围绕论文 “国际经验借鉴” 核心目标构建，数据均源自三国官方权威资料。中国部分依托核心法规及残联统计公报，加拿大数据取自国家无障碍法案与统计局文件，日本相关内容源于专项法律及 JIS 系列标准，确保信息真实可考。绘制时坚持维度统一、内容精准、适配研究主题三大原则，聚焦 11 个核心对比指标，剔除无关表述，紧扣设施建设、服务保障等与 “数据矛盾” 直接相关的关键维度，为后续分析提供靶向支撑。</w:t>
      </w:r>
    </w:p>
    <w:tbl>
      <w:tblPr>
        <w:tblStyle w:val="6"/>
        <w:tblpPr w:leftFromText="180" w:rightFromText="180" w:vertAnchor="text" w:horzAnchor="page" w:tblpX="1803" w:tblpY="444"/>
        <w:tblOverlap w:val="never"/>
        <w:tblW w:w="9224"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57"/>
        <w:gridCol w:w="2027"/>
        <w:gridCol w:w="2133"/>
        <w:gridCol w:w="3707"/>
      </w:tblGrid>
      <w:tr w14:paraId="6EB8C5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3" w:hRule="atLeast"/>
          <w:tblHeader/>
        </w:trPr>
        <w:tc>
          <w:tcPr>
            <w:tcW w:w="1357" w:type="dxa"/>
            <w:tcBorders>
              <w:bottom w:val="double" w:color="auto" w:sz="4" w:space="0"/>
              <w:right w:val="nil"/>
              <w:tl2br w:val="nil"/>
            </w:tcBorders>
            <w:shd w:val="clear" w:color="auto" w:fill="FFFFFF"/>
            <w:tcMar>
              <w:top w:w="144" w:type="dxa"/>
              <w:left w:w="216" w:type="dxa"/>
              <w:bottom w:w="144" w:type="dxa"/>
              <w:right w:w="216" w:type="dxa"/>
            </w:tcMar>
            <w:vAlign w:val="center"/>
          </w:tcPr>
          <w:p w14:paraId="2CDEA754">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bCs/>
                <w:sz w:val="15"/>
                <w:szCs w:val="15"/>
              </w:rPr>
            </w:pPr>
            <w:r>
              <w:rPr>
                <w:b w:val="0"/>
                <w:bCs/>
                <w:sz w:val="15"/>
                <w:szCs w:val="15"/>
                <w:lang w:val="en-US" w:eastAsia="zh-CN"/>
              </w:rPr>
              <w:t>对比项目</w:t>
            </w:r>
          </w:p>
        </w:tc>
        <w:tc>
          <w:tcPr>
            <w:tcW w:w="2027" w:type="dxa"/>
            <w:tcBorders>
              <w:left w:val="nil"/>
              <w:bottom w:val="double" w:color="auto" w:sz="4" w:space="0"/>
              <w:right w:val="nil"/>
            </w:tcBorders>
            <w:shd w:val="clear" w:color="auto" w:fill="FFFFFF"/>
            <w:tcMar>
              <w:top w:w="144" w:type="dxa"/>
              <w:left w:w="216" w:type="dxa"/>
              <w:bottom w:w="144" w:type="dxa"/>
              <w:right w:w="216" w:type="dxa"/>
            </w:tcMar>
            <w:vAlign w:val="center"/>
          </w:tcPr>
          <w:p w14:paraId="771E59EE">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bCs/>
                <w:sz w:val="15"/>
                <w:szCs w:val="15"/>
              </w:rPr>
            </w:pPr>
            <w:r>
              <w:rPr>
                <w:b w:val="0"/>
                <w:bCs/>
                <w:sz w:val="15"/>
                <w:szCs w:val="15"/>
                <w:lang w:val="en-US" w:eastAsia="zh-CN"/>
              </w:rPr>
              <w:t>中国</w:t>
            </w:r>
          </w:p>
        </w:tc>
        <w:tc>
          <w:tcPr>
            <w:tcW w:w="2133" w:type="dxa"/>
            <w:tcBorders>
              <w:left w:val="nil"/>
              <w:bottom w:val="double" w:color="auto" w:sz="4" w:space="0"/>
              <w:right w:val="nil"/>
            </w:tcBorders>
            <w:shd w:val="clear" w:color="auto" w:fill="FFFFFF"/>
            <w:tcMar>
              <w:top w:w="144" w:type="dxa"/>
              <w:left w:w="216" w:type="dxa"/>
              <w:bottom w:w="144" w:type="dxa"/>
              <w:right w:w="216" w:type="dxa"/>
            </w:tcMar>
            <w:vAlign w:val="center"/>
          </w:tcPr>
          <w:p w14:paraId="1E218F44">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bCs/>
                <w:sz w:val="15"/>
                <w:szCs w:val="15"/>
              </w:rPr>
            </w:pPr>
            <w:r>
              <w:rPr>
                <w:b w:val="0"/>
                <w:bCs/>
                <w:sz w:val="15"/>
                <w:szCs w:val="15"/>
                <w:lang w:val="en-US" w:eastAsia="zh-CN"/>
              </w:rPr>
              <w:t>加拿大</w:t>
            </w:r>
          </w:p>
        </w:tc>
        <w:tc>
          <w:tcPr>
            <w:tcW w:w="3707" w:type="dxa"/>
            <w:tcBorders>
              <w:left w:val="nil"/>
              <w:bottom w:val="double" w:color="auto" w:sz="4" w:space="0"/>
            </w:tcBorders>
            <w:shd w:val="clear" w:color="auto" w:fill="FFFFFF"/>
            <w:tcMar>
              <w:top w:w="144" w:type="dxa"/>
              <w:left w:w="216" w:type="dxa"/>
              <w:bottom w:w="144" w:type="dxa"/>
              <w:right w:w="216" w:type="dxa"/>
            </w:tcMar>
            <w:vAlign w:val="center"/>
          </w:tcPr>
          <w:p w14:paraId="3262087A">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bCs/>
                <w:sz w:val="15"/>
                <w:szCs w:val="15"/>
              </w:rPr>
            </w:pPr>
            <w:r>
              <w:rPr>
                <w:b w:val="0"/>
                <w:bCs/>
                <w:sz w:val="15"/>
                <w:szCs w:val="15"/>
                <w:lang w:val="en-US" w:eastAsia="zh-CN"/>
              </w:rPr>
              <w:t>日本</w:t>
            </w:r>
          </w:p>
        </w:tc>
      </w:tr>
      <w:tr w14:paraId="5588E1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3" w:hRule="atLeast"/>
        </w:trPr>
        <w:tc>
          <w:tcPr>
            <w:tcW w:w="1357" w:type="dxa"/>
            <w:tcBorders>
              <w:top w:val="double" w:color="auto" w:sz="4" w:space="0"/>
              <w:bottom w:val="nil"/>
              <w:right w:val="nil"/>
            </w:tcBorders>
            <w:shd w:val="clear" w:color="auto" w:fill="FFFFFF"/>
            <w:tcMar>
              <w:top w:w="144" w:type="dxa"/>
              <w:left w:w="216" w:type="dxa"/>
              <w:bottom w:w="144" w:type="dxa"/>
              <w:right w:w="216" w:type="dxa"/>
            </w:tcMar>
            <w:vAlign w:val="center"/>
          </w:tcPr>
          <w:p w14:paraId="5BE6EA1D">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无障碍法规的起步标志</w:t>
            </w:r>
          </w:p>
        </w:tc>
        <w:tc>
          <w:tcPr>
            <w:tcW w:w="2027" w:type="dxa"/>
            <w:tcBorders>
              <w:top w:val="double" w:color="auto" w:sz="4" w:space="0"/>
              <w:left w:val="nil"/>
              <w:bottom w:val="nil"/>
              <w:right w:val="nil"/>
            </w:tcBorders>
            <w:shd w:val="clear" w:color="auto" w:fill="FFFFFF"/>
            <w:tcMar>
              <w:top w:w="144" w:type="dxa"/>
              <w:left w:w="216" w:type="dxa"/>
              <w:bottom w:w="144" w:type="dxa"/>
              <w:right w:w="216" w:type="dxa"/>
            </w:tcMar>
            <w:vAlign w:val="center"/>
          </w:tcPr>
          <w:p w14:paraId="183286A7">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1982 年《宪法》写入残障人士权益保障条款</w:t>
            </w:r>
          </w:p>
        </w:tc>
        <w:tc>
          <w:tcPr>
            <w:tcW w:w="2133" w:type="dxa"/>
            <w:tcBorders>
              <w:top w:val="double" w:color="auto" w:sz="4" w:space="0"/>
              <w:left w:val="nil"/>
              <w:bottom w:val="nil"/>
              <w:right w:val="nil"/>
            </w:tcBorders>
            <w:shd w:val="clear" w:color="auto" w:fill="FFFFFF"/>
            <w:tcMar>
              <w:top w:w="144" w:type="dxa"/>
              <w:left w:w="216" w:type="dxa"/>
              <w:bottom w:w="144" w:type="dxa"/>
              <w:right w:w="216" w:type="dxa"/>
            </w:tcMar>
            <w:vAlign w:val="center"/>
          </w:tcPr>
          <w:p w14:paraId="72A5D93A">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1944 年《残障人士歧视法》</w:t>
            </w:r>
          </w:p>
        </w:tc>
        <w:tc>
          <w:tcPr>
            <w:tcW w:w="3707" w:type="dxa"/>
            <w:tcBorders>
              <w:top w:val="double" w:color="auto" w:sz="4" w:space="0"/>
              <w:left w:val="nil"/>
              <w:bottom w:val="nil"/>
            </w:tcBorders>
            <w:shd w:val="clear" w:color="auto" w:fill="FFFFFF"/>
            <w:tcMar>
              <w:top w:w="144" w:type="dxa"/>
              <w:left w:w="216" w:type="dxa"/>
              <w:bottom w:w="144" w:type="dxa"/>
              <w:right w:w="216" w:type="dxa"/>
            </w:tcMar>
            <w:vAlign w:val="center"/>
          </w:tcPr>
          <w:p w14:paraId="15DB28F0">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1970 年《身心障碍者对策基本法》（首次确立无障碍建设国家层面框架）</w:t>
            </w:r>
          </w:p>
        </w:tc>
      </w:tr>
      <w:tr w14:paraId="3451F3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3" w:hRule="atLeast"/>
        </w:trPr>
        <w:tc>
          <w:tcPr>
            <w:tcW w:w="1357" w:type="dxa"/>
            <w:tcBorders>
              <w:top w:val="nil"/>
              <w:bottom w:val="nil"/>
              <w:right w:val="nil"/>
            </w:tcBorders>
            <w:shd w:val="clear" w:color="auto" w:fill="FFFFFF"/>
            <w:tcMar>
              <w:top w:w="144" w:type="dxa"/>
              <w:left w:w="216" w:type="dxa"/>
              <w:bottom w:w="144" w:type="dxa"/>
              <w:right w:w="216" w:type="dxa"/>
            </w:tcMar>
            <w:vAlign w:val="center"/>
          </w:tcPr>
          <w:p w14:paraId="18DBD18A">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法规发展主要推动力量</w:t>
            </w:r>
          </w:p>
        </w:tc>
        <w:tc>
          <w:tcPr>
            <w:tcW w:w="2027" w:type="dxa"/>
            <w:tcBorders>
              <w:top w:val="nil"/>
              <w:left w:val="nil"/>
              <w:bottom w:val="nil"/>
              <w:right w:val="nil"/>
            </w:tcBorders>
            <w:shd w:val="clear" w:color="auto" w:fill="FFFFFF"/>
            <w:tcMar>
              <w:top w:w="144" w:type="dxa"/>
              <w:left w:w="216" w:type="dxa"/>
              <w:bottom w:w="144" w:type="dxa"/>
              <w:right w:w="216" w:type="dxa"/>
            </w:tcMar>
            <w:vAlign w:val="center"/>
          </w:tcPr>
          <w:p w14:paraId="72BCC71D">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人大代表提议、政府行政主导推动</w:t>
            </w:r>
          </w:p>
        </w:tc>
        <w:tc>
          <w:tcPr>
            <w:tcW w:w="2133" w:type="dxa"/>
            <w:tcBorders>
              <w:top w:val="nil"/>
              <w:left w:val="nil"/>
              <w:bottom w:val="nil"/>
              <w:right w:val="nil"/>
            </w:tcBorders>
            <w:shd w:val="clear" w:color="auto" w:fill="FFFFFF"/>
            <w:tcMar>
              <w:top w:w="144" w:type="dxa"/>
              <w:left w:w="216" w:type="dxa"/>
              <w:bottom w:w="144" w:type="dxa"/>
              <w:right w:w="216" w:type="dxa"/>
            </w:tcMar>
            <w:vAlign w:val="center"/>
          </w:tcPr>
          <w:p w14:paraId="3725C28C">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政府保障政策及残障人士团体倡导社会模型</w:t>
            </w:r>
          </w:p>
        </w:tc>
        <w:tc>
          <w:tcPr>
            <w:tcW w:w="3707" w:type="dxa"/>
            <w:tcBorders>
              <w:top w:val="nil"/>
              <w:left w:val="nil"/>
              <w:bottom w:val="nil"/>
            </w:tcBorders>
            <w:shd w:val="clear" w:color="auto" w:fill="FFFFFF"/>
            <w:tcMar>
              <w:top w:w="144" w:type="dxa"/>
              <w:left w:w="216" w:type="dxa"/>
              <w:bottom w:w="144" w:type="dxa"/>
              <w:right w:w="216" w:type="dxa"/>
            </w:tcMar>
            <w:vAlign w:val="center"/>
          </w:tcPr>
          <w:p w14:paraId="48D762A4">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政府立法主导、残障人士组织参与、企业协同推进</w:t>
            </w:r>
          </w:p>
        </w:tc>
      </w:tr>
      <w:tr w14:paraId="0114D4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3" w:hRule="atLeast"/>
        </w:trPr>
        <w:tc>
          <w:tcPr>
            <w:tcW w:w="1357" w:type="dxa"/>
            <w:tcBorders>
              <w:top w:val="nil"/>
              <w:bottom w:val="nil"/>
              <w:right w:val="nil"/>
            </w:tcBorders>
            <w:shd w:val="clear" w:color="auto" w:fill="FFFFFF"/>
            <w:tcMar>
              <w:top w:w="144" w:type="dxa"/>
              <w:left w:w="216" w:type="dxa"/>
              <w:bottom w:w="144" w:type="dxa"/>
              <w:right w:w="216" w:type="dxa"/>
            </w:tcMar>
            <w:vAlign w:val="center"/>
          </w:tcPr>
          <w:p w14:paraId="56CBEE7A">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现发展阶段</w:t>
            </w:r>
          </w:p>
        </w:tc>
        <w:tc>
          <w:tcPr>
            <w:tcW w:w="2027" w:type="dxa"/>
            <w:tcBorders>
              <w:top w:val="nil"/>
              <w:left w:val="nil"/>
              <w:bottom w:val="nil"/>
              <w:right w:val="nil"/>
            </w:tcBorders>
            <w:shd w:val="clear" w:color="auto" w:fill="FFFFFF"/>
            <w:tcMar>
              <w:top w:w="144" w:type="dxa"/>
              <w:left w:w="216" w:type="dxa"/>
              <w:bottom w:w="144" w:type="dxa"/>
              <w:right w:w="216" w:type="dxa"/>
            </w:tcMar>
            <w:vAlign w:val="center"/>
          </w:tcPr>
          <w:p w14:paraId="156C97C6">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通用设计起步阶段</w:t>
            </w:r>
          </w:p>
        </w:tc>
        <w:tc>
          <w:tcPr>
            <w:tcW w:w="2133" w:type="dxa"/>
            <w:tcBorders>
              <w:top w:val="nil"/>
              <w:left w:val="nil"/>
              <w:bottom w:val="nil"/>
              <w:right w:val="nil"/>
            </w:tcBorders>
            <w:shd w:val="clear" w:color="auto" w:fill="FFFFFF"/>
            <w:tcMar>
              <w:top w:w="144" w:type="dxa"/>
              <w:left w:w="216" w:type="dxa"/>
              <w:bottom w:w="144" w:type="dxa"/>
              <w:right w:w="216" w:type="dxa"/>
            </w:tcMar>
            <w:vAlign w:val="center"/>
          </w:tcPr>
          <w:p w14:paraId="79A6506E">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通用设计发展阶段</w:t>
            </w:r>
          </w:p>
        </w:tc>
        <w:tc>
          <w:tcPr>
            <w:tcW w:w="3707" w:type="dxa"/>
            <w:tcBorders>
              <w:top w:val="nil"/>
              <w:left w:val="nil"/>
              <w:bottom w:val="nil"/>
            </w:tcBorders>
            <w:shd w:val="clear" w:color="auto" w:fill="FFFFFF"/>
            <w:tcMar>
              <w:top w:w="144" w:type="dxa"/>
              <w:left w:w="216" w:type="dxa"/>
              <w:bottom w:w="144" w:type="dxa"/>
              <w:right w:w="216" w:type="dxa"/>
            </w:tcMar>
            <w:vAlign w:val="center"/>
          </w:tcPr>
          <w:p w14:paraId="4DC714B3">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通用设计成熟阶段（“全民无障碍” 理念深度落地）</w:t>
            </w:r>
          </w:p>
        </w:tc>
      </w:tr>
      <w:tr w14:paraId="5C0A3C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3" w:hRule="atLeast"/>
        </w:trPr>
        <w:tc>
          <w:tcPr>
            <w:tcW w:w="1357" w:type="dxa"/>
            <w:tcBorders>
              <w:top w:val="nil"/>
              <w:bottom w:val="nil"/>
              <w:right w:val="nil"/>
            </w:tcBorders>
            <w:shd w:val="clear" w:color="auto" w:fill="FFFFFF"/>
            <w:tcMar>
              <w:top w:w="144" w:type="dxa"/>
              <w:left w:w="216" w:type="dxa"/>
              <w:bottom w:w="144" w:type="dxa"/>
              <w:right w:w="216" w:type="dxa"/>
            </w:tcMar>
            <w:vAlign w:val="center"/>
          </w:tcPr>
          <w:p w14:paraId="0CADBC19">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主要保障法律</w:t>
            </w:r>
          </w:p>
        </w:tc>
        <w:tc>
          <w:tcPr>
            <w:tcW w:w="2027" w:type="dxa"/>
            <w:tcBorders>
              <w:top w:val="nil"/>
              <w:left w:val="nil"/>
              <w:bottom w:val="nil"/>
              <w:right w:val="nil"/>
            </w:tcBorders>
            <w:shd w:val="clear" w:color="auto" w:fill="FFFFFF"/>
            <w:tcMar>
              <w:top w:w="144" w:type="dxa"/>
              <w:left w:w="216" w:type="dxa"/>
              <w:bottom w:w="144" w:type="dxa"/>
              <w:right w:w="216" w:type="dxa"/>
            </w:tcMar>
            <w:vAlign w:val="center"/>
          </w:tcPr>
          <w:p w14:paraId="13830CD3">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《中华人民共和国残疾人保障法》《无障碍环境建设法》</w:t>
            </w:r>
          </w:p>
        </w:tc>
        <w:tc>
          <w:tcPr>
            <w:tcW w:w="2133" w:type="dxa"/>
            <w:tcBorders>
              <w:top w:val="nil"/>
              <w:left w:val="nil"/>
              <w:bottom w:val="nil"/>
              <w:right w:val="nil"/>
            </w:tcBorders>
            <w:shd w:val="clear" w:color="auto" w:fill="FFFFFF"/>
            <w:tcMar>
              <w:top w:w="144" w:type="dxa"/>
              <w:left w:w="216" w:type="dxa"/>
              <w:bottom w:w="144" w:type="dxa"/>
              <w:right w:w="216" w:type="dxa"/>
            </w:tcMar>
            <w:vAlign w:val="center"/>
          </w:tcPr>
          <w:p w14:paraId="79869540">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《加拿大无障碍法案》《加拿大人权和自由宪章》</w:t>
            </w:r>
          </w:p>
        </w:tc>
        <w:tc>
          <w:tcPr>
            <w:tcW w:w="3707" w:type="dxa"/>
            <w:tcBorders>
              <w:top w:val="nil"/>
              <w:left w:val="nil"/>
              <w:bottom w:val="nil"/>
            </w:tcBorders>
            <w:shd w:val="clear" w:color="auto" w:fill="FFFFFF"/>
            <w:tcMar>
              <w:top w:w="144" w:type="dxa"/>
              <w:left w:w="216" w:type="dxa"/>
              <w:bottom w:w="144" w:type="dxa"/>
              <w:right w:w="216" w:type="dxa"/>
            </w:tcMar>
            <w:vAlign w:val="center"/>
          </w:tcPr>
          <w:p w14:paraId="6B4D620C">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《障碍者基本法》《无障碍环境形成法》《特定建筑物无障碍化促进法》</w:t>
            </w:r>
          </w:p>
        </w:tc>
      </w:tr>
      <w:tr w14:paraId="51DCCBB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3" w:hRule="atLeast"/>
        </w:trPr>
        <w:tc>
          <w:tcPr>
            <w:tcW w:w="1357" w:type="dxa"/>
            <w:tcBorders>
              <w:top w:val="nil"/>
              <w:bottom w:val="nil"/>
              <w:right w:val="nil"/>
            </w:tcBorders>
            <w:shd w:val="clear" w:color="auto" w:fill="FFFFFF"/>
            <w:tcMar>
              <w:top w:w="144" w:type="dxa"/>
              <w:left w:w="216" w:type="dxa"/>
              <w:bottom w:w="144" w:type="dxa"/>
              <w:right w:w="216" w:type="dxa"/>
            </w:tcMar>
            <w:vAlign w:val="center"/>
          </w:tcPr>
          <w:p w14:paraId="0134BB3D">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现行核心无障碍设计标准</w:t>
            </w:r>
          </w:p>
        </w:tc>
        <w:tc>
          <w:tcPr>
            <w:tcW w:w="2027" w:type="dxa"/>
            <w:tcBorders>
              <w:top w:val="nil"/>
              <w:left w:val="nil"/>
              <w:bottom w:val="nil"/>
              <w:right w:val="nil"/>
            </w:tcBorders>
            <w:shd w:val="clear" w:color="auto" w:fill="FFFFFF"/>
            <w:tcMar>
              <w:top w:w="144" w:type="dxa"/>
              <w:left w:w="216" w:type="dxa"/>
              <w:bottom w:w="144" w:type="dxa"/>
              <w:right w:w="216" w:type="dxa"/>
            </w:tcMar>
            <w:vAlign w:val="center"/>
          </w:tcPr>
          <w:p w14:paraId="49C628E6">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2012 年《无障碍设计规范》（GB 50763）</w:t>
            </w:r>
          </w:p>
        </w:tc>
        <w:tc>
          <w:tcPr>
            <w:tcW w:w="2133" w:type="dxa"/>
            <w:tcBorders>
              <w:top w:val="nil"/>
              <w:left w:val="nil"/>
              <w:bottom w:val="nil"/>
              <w:right w:val="nil"/>
            </w:tcBorders>
            <w:shd w:val="clear" w:color="auto" w:fill="FFFFFF"/>
            <w:tcMar>
              <w:top w:w="144" w:type="dxa"/>
              <w:left w:w="216" w:type="dxa"/>
              <w:bottom w:w="144" w:type="dxa"/>
              <w:right w:w="216" w:type="dxa"/>
            </w:tcMar>
            <w:vAlign w:val="center"/>
          </w:tcPr>
          <w:p w14:paraId="5CC3DFB7">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2010 年《加拿大国家建筑规范 3.8 节无障碍设计》</w:t>
            </w:r>
          </w:p>
        </w:tc>
        <w:tc>
          <w:tcPr>
            <w:tcW w:w="3707" w:type="dxa"/>
            <w:tcBorders>
              <w:top w:val="nil"/>
              <w:left w:val="nil"/>
              <w:bottom w:val="nil"/>
            </w:tcBorders>
            <w:shd w:val="clear" w:color="auto" w:fill="FFFFFF"/>
            <w:tcMar>
              <w:top w:w="144" w:type="dxa"/>
              <w:left w:w="216" w:type="dxa"/>
              <w:bottom w:w="144" w:type="dxa"/>
              <w:right w:w="216" w:type="dxa"/>
            </w:tcMar>
            <w:vAlign w:val="center"/>
          </w:tcPr>
          <w:p w14:paraId="3B5EA5E2">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JIS Z 8500 系列（建筑无障碍标准）、JIS X 8341（信息无障碍标准）等</w:t>
            </w:r>
          </w:p>
        </w:tc>
      </w:tr>
      <w:tr w14:paraId="52D41F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3" w:hRule="atLeast"/>
        </w:trPr>
        <w:tc>
          <w:tcPr>
            <w:tcW w:w="1357" w:type="dxa"/>
            <w:tcBorders>
              <w:top w:val="nil"/>
              <w:bottom w:val="nil"/>
              <w:right w:val="nil"/>
            </w:tcBorders>
            <w:shd w:val="clear" w:color="auto" w:fill="FFFFFF"/>
            <w:tcMar>
              <w:top w:w="144" w:type="dxa"/>
              <w:left w:w="216" w:type="dxa"/>
              <w:bottom w:w="144" w:type="dxa"/>
              <w:right w:w="216" w:type="dxa"/>
            </w:tcMar>
            <w:vAlign w:val="center"/>
          </w:tcPr>
          <w:p w14:paraId="42981D0B">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无障碍发展理念</w:t>
            </w:r>
          </w:p>
        </w:tc>
        <w:tc>
          <w:tcPr>
            <w:tcW w:w="2027" w:type="dxa"/>
            <w:tcBorders>
              <w:top w:val="nil"/>
              <w:left w:val="nil"/>
              <w:bottom w:val="nil"/>
              <w:right w:val="nil"/>
            </w:tcBorders>
            <w:shd w:val="clear" w:color="auto" w:fill="FFFFFF"/>
            <w:tcMar>
              <w:top w:w="144" w:type="dxa"/>
              <w:left w:w="216" w:type="dxa"/>
              <w:bottom w:w="144" w:type="dxa"/>
              <w:right w:w="216" w:type="dxa"/>
            </w:tcMar>
            <w:vAlign w:val="center"/>
          </w:tcPr>
          <w:p w14:paraId="06F47C1A">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保障残障人士平等充分地参与社会生活</w:t>
            </w:r>
          </w:p>
        </w:tc>
        <w:tc>
          <w:tcPr>
            <w:tcW w:w="2133" w:type="dxa"/>
            <w:tcBorders>
              <w:top w:val="nil"/>
              <w:left w:val="nil"/>
              <w:bottom w:val="nil"/>
              <w:right w:val="nil"/>
            </w:tcBorders>
            <w:shd w:val="clear" w:color="auto" w:fill="FFFFFF"/>
            <w:tcMar>
              <w:top w:w="144" w:type="dxa"/>
              <w:left w:w="216" w:type="dxa"/>
              <w:bottom w:w="144" w:type="dxa"/>
              <w:right w:w="216" w:type="dxa"/>
            </w:tcMar>
            <w:vAlign w:val="center"/>
          </w:tcPr>
          <w:p w14:paraId="323624ED">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消除歧视、强调平等</w:t>
            </w:r>
          </w:p>
        </w:tc>
        <w:tc>
          <w:tcPr>
            <w:tcW w:w="3707" w:type="dxa"/>
            <w:tcBorders>
              <w:top w:val="nil"/>
              <w:left w:val="nil"/>
              <w:bottom w:val="nil"/>
            </w:tcBorders>
            <w:shd w:val="clear" w:color="auto" w:fill="FFFFFF"/>
            <w:tcMar>
              <w:top w:w="144" w:type="dxa"/>
              <w:left w:w="216" w:type="dxa"/>
              <w:bottom w:w="144" w:type="dxa"/>
              <w:right w:w="216" w:type="dxa"/>
            </w:tcMar>
            <w:vAlign w:val="center"/>
          </w:tcPr>
          <w:p w14:paraId="659824B3">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“全民共享”“全生命周期无障碍”，兼顾残障人士、老年人、儿童等全人群需求</w:t>
            </w:r>
          </w:p>
        </w:tc>
      </w:tr>
      <w:tr w14:paraId="6B36A21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3" w:hRule="atLeast"/>
        </w:trPr>
        <w:tc>
          <w:tcPr>
            <w:tcW w:w="1357" w:type="dxa"/>
            <w:tcBorders>
              <w:top w:val="nil"/>
              <w:bottom w:val="nil"/>
              <w:right w:val="nil"/>
            </w:tcBorders>
            <w:shd w:val="clear" w:color="auto" w:fill="FFFFFF"/>
            <w:tcMar>
              <w:top w:w="144" w:type="dxa"/>
              <w:left w:w="216" w:type="dxa"/>
              <w:bottom w:w="144" w:type="dxa"/>
              <w:right w:w="216" w:type="dxa"/>
            </w:tcMar>
            <w:vAlign w:val="center"/>
          </w:tcPr>
          <w:p w14:paraId="62F4AE32">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国家与地方法规发展次序</w:t>
            </w:r>
          </w:p>
        </w:tc>
        <w:tc>
          <w:tcPr>
            <w:tcW w:w="2027" w:type="dxa"/>
            <w:tcBorders>
              <w:top w:val="nil"/>
              <w:left w:val="nil"/>
              <w:bottom w:val="nil"/>
              <w:right w:val="nil"/>
            </w:tcBorders>
            <w:shd w:val="clear" w:color="auto" w:fill="FFFFFF"/>
            <w:tcMar>
              <w:top w:w="144" w:type="dxa"/>
              <w:left w:w="216" w:type="dxa"/>
              <w:bottom w:w="144" w:type="dxa"/>
              <w:right w:w="216" w:type="dxa"/>
            </w:tcMar>
            <w:vAlign w:val="center"/>
          </w:tcPr>
          <w:p w14:paraId="73E14D7E">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国家法规先于地方标准</w:t>
            </w:r>
          </w:p>
        </w:tc>
        <w:tc>
          <w:tcPr>
            <w:tcW w:w="2133" w:type="dxa"/>
            <w:tcBorders>
              <w:top w:val="nil"/>
              <w:left w:val="nil"/>
              <w:bottom w:val="nil"/>
              <w:right w:val="nil"/>
            </w:tcBorders>
            <w:shd w:val="clear" w:color="auto" w:fill="FFFFFF"/>
            <w:tcMar>
              <w:top w:w="144" w:type="dxa"/>
              <w:left w:w="216" w:type="dxa"/>
              <w:bottom w:w="144" w:type="dxa"/>
              <w:right w:w="216" w:type="dxa"/>
            </w:tcMar>
            <w:vAlign w:val="center"/>
          </w:tcPr>
          <w:p w14:paraId="2C33C11F">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地方法规先于国家法规</w:t>
            </w:r>
          </w:p>
        </w:tc>
        <w:tc>
          <w:tcPr>
            <w:tcW w:w="3707" w:type="dxa"/>
            <w:tcBorders>
              <w:top w:val="nil"/>
              <w:left w:val="nil"/>
              <w:bottom w:val="nil"/>
            </w:tcBorders>
            <w:shd w:val="clear" w:color="auto" w:fill="FFFFFF"/>
            <w:tcMar>
              <w:top w:w="144" w:type="dxa"/>
              <w:left w:w="216" w:type="dxa"/>
              <w:bottom w:w="144" w:type="dxa"/>
              <w:right w:w="216" w:type="dxa"/>
            </w:tcMar>
            <w:vAlign w:val="center"/>
          </w:tcPr>
          <w:p w14:paraId="146D0360">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国家基本法引领，地方制定实施细则（如都道府县无障碍推进计划）</w:t>
            </w:r>
          </w:p>
        </w:tc>
      </w:tr>
      <w:tr w14:paraId="2FA62F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3" w:hRule="atLeast"/>
        </w:trPr>
        <w:tc>
          <w:tcPr>
            <w:tcW w:w="1357" w:type="dxa"/>
            <w:tcBorders>
              <w:top w:val="nil"/>
              <w:bottom w:val="nil"/>
              <w:right w:val="nil"/>
            </w:tcBorders>
            <w:shd w:val="clear" w:color="auto" w:fill="FFFFFF"/>
            <w:tcMar>
              <w:top w:w="144" w:type="dxa"/>
              <w:left w:w="216" w:type="dxa"/>
              <w:bottom w:w="144" w:type="dxa"/>
              <w:right w:w="216" w:type="dxa"/>
            </w:tcMar>
            <w:vAlign w:val="center"/>
          </w:tcPr>
          <w:p w14:paraId="3DEA9FF6">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法规制定依据</w:t>
            </w:r>
          </w:p>
        </w:tc>
        <w:tc>
          <w:tcPr>
            <w:tcW w:w="2027" w:type="dxa"/>
            <w:tcBorders>
              <w:top w:val="nil"/>
              <w:left w:val="nil"/>
              <w:bottom w:val="nil"/>
              <w:right w:val="nil"/>
            </w:tcBorders>
            <w:shd w:val="clear" w:color="auto" w:fill="FFFFFF"/>
            <w:tcMar>
              <w:top w:w="144" w:type="dxa"/>
              <w:left w:w="216" w:type="dxa"/>
              <w:bottom w:w="144" w:type="dxa"/>
              <w:right w:w="216" w:type="dxa"/>
            </w:tcMar>
            <w:vAlign w:val="center"/>
          </w:tcPr>
          <w:p w14:paraId="5A494ECC">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基于实践经验与发展现状，参考国外法规及专家意见</w:t>
            </w:r>
          </w:p>
        </w:tc>
        <w:tc>
          <w:tcPr>
            <w:tcW w:w="2133" w:type="dxa"/>
            <w:tcBorders>
              <w:top w:val="nil"/>
              <w:left w:val="nil"/>
              <w:bottom w:val="nil"/>
              <w:right w:val="nil"/>
            </w:tcBorders>
            <w:shd w:val="clear" w:color="auto" w:fill="FFFFFF"/>
            <w:tcMar>
              <w:top w:w="144" w:type="dxa"/>
              <w:left w:w="216" w:type="dxa"/>
              <w:bottom w:w="144" w:type="dxa"/>
              <w:right w:w="216" w:type="dxa"/>
            </w:tcMar>
            <w:vAlign w:val="center"/>
          </w:tcPr>
          <w:p w14:paraId="2A4DF509">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各行业公众及残障人士意见、研究项目指导</w:t>
            </w:r>
          </w:p>
        </w:tc>
        <w:tc>
          <w:tcPr>
            <w:tcW w:w="3707" w:type="dxa"/>
            <w:tcBorders>
              <w:top w:val="nil"/>
              <w:left w:val="nil"/>
              <w:bottom w:val="nil"/>
            </w:tcBorders>
            <w:shd w:val="clear" w:color="auto" w:fill="FFFFFF"/>
            <w:tcMar>
              <w:top w:w="144" w:type="dxa"/>
              <w:left w:w="216" w:type="dxa"/>
              <w:bottom w:w="144" w:type="dxa"/>
              <w:right w:w="216" w:type="dxa"/>
            </w:tcMar>
            <w:vAlign w:val="center"/>
          </w:tcPr>
          <w:p w14:paraId="05C450AF">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社会需求调研、残障人士实际诉求、技术发展水平、国际标准借鉴</w:t>
            </w:r>
          </w:p>
        </w:tc>
      </w:tr>
      <w:tr w14:paraId="2FF2FA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3" w:hRule="atLeast"/>
        </w:trPr>
        <w:tc>
          <w:tcPr>
            <w:tcW w:w="1357" w:type="dxa"/>
            <w:tcBorders>
              <w:top w:val="nil"/>
              <w:bottom w:val="nil"/>
              <w:right w:val="nil"/>
            </w:tcBorders>
            <w:shd w:val="clear" w:color="auto" w:fill="FFFFFF"/>
            <w:tcMar>
              <w:top w:w="144" w:type="dxa"/>
              <w:left w:w="216" w:type="dxa"/>
              <w:bottom w:w="144" w:type="dxa"/>
              <w:right w:w="216" w:type="dxa"/>
            </w:tcMar>
            <w:vAlign w:val="center"/>
          </w:tcPr>
          <w:p w14:paraId="49387223">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法规实施方式</w:t>
            </w:r>
          </w:p>
        </w:tc>
        <w:tc>
          <w:tcPr>
            <w:tcW w:w="2027" w:type="dxa"/>
            <w:tcBorders>
              <w:top w:val="nil"/>
              <w:left w:val="nil"/>
              <w:bottom w:val="nil"/>
              <w:right w:val="nil"/>
            </w:tcBorders>
            <w:shd w:val="clear" w:color="auto" w:fill="FFFFFF"/>
            <w:tcMar>
              <w:top w:w="144" w:type="dxa"/>
              <w:left w:w="216" w:type="dxa"/>
              <w:bottom w:w="144" w:type="dxa"/>
              <w:right w:w="216" w:type="dxa"/>
            </w:tcMar>
            <w:vAlign w:val="center"/>
          </w:tcPr>
          <w:p w14:paraId="358D3C0E">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无障碍为基本建设审批内容，并有处罚条例</w:t>
            </w:r>
          </w:p>
        </w:tc>
        <w:tc>
          <w:tcPr>
            <w:tcW w:w="2133" w:type="dxa"/>
            <w:tcBorders>
              <w:top w:val="nil"/>
              <w:left w:val="nil"/>
              <w:bottom w:val="nil"/>
              <w:right w:val="nil"/>
            </w:tcBorders>
            <w:shd w:val="clear" w:color="auto" w:fill="FFFFFF"/>
            <w:tcMar>
              <w:top w:w="144" w:type="dxa"/>
              <w:left w:w="216" w:type="dxa"/>
              <w:bottom w:w="144" w:type="dxa"/>
              <w:right w:w="216" w:type="dxa"/>
            </w:tcMar>
            <w:vAlign w:val="center"/>
          </w:tcPr>
          <w:p w14:paraId="1A9F0D8C">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强制实施，不遵守者进行惩罚</w:t>
            </w:r>
          </w:p>
        </w:tc>
        <w:tc>
          <w:tcPr>
            <w:tcW w:w="3707" w:type="dxa"/>
            <w:tcBorders>
              <w:top w:val="nil"/>
              <w:left w:val="nil"/>
              <w:bottom w:val="nil"/>
            </w:tcBorders>
            <w:shd w:val="clear" w:color="auto" w:fill="FFFFFF"/>
            <w:tcMar>
              <w:top w:w="144" w:type="dxa"/>
              <w:left w:w="216" w:type="dxa"/>
              <w:bottom w:w="144" w:type="dxa"/>
              <w:right w:w="216" w:type="dxa"/>
            </w:tcMar>
            <w:vAlign w:val="center"/>
          </w:tcPr>
          <w:p w14:paraId="3FBC3BFA">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强制与激励结合：法定设施强制达标，自愿提升项目给予补贴与表彰</w:t>
            </w:r>
          </w:p>
        </w:tc>
      </w:tr>
      <w:tr w14:paraId="28E727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3" w:hRule="atLeast"/>
        </w:trPr>
        <w:tc>
          <w:tcPr>
            <w:tcW w:w="1357" w:type="dxa"/>
            <w:tcBorders>
              <w:top w:val="nil"/>
              <w:bottom w:val="nil"/>
              <w:right w:val="nil"/>
            </w:tcBorders>
            <w:shd w:val="clear" w:color="auto" w:fill="FFFFFF"/>
            <w:tcMar>
              <w:top w:w="144" w:type="dxa"/>
              <w:left w:w="216" w:type="dxa"/>
              <w:bottom w:w="144" w:type="dxa"/>
              <w:right w:w="216" w:type="dxa"/>
            </w:tcMar>
            <w:vAlign w:val="center"/>
          </w:tcPr>
          <w:p w14:paraId="3E93F72A">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无障碍法规保障对象的发展历程</w:t>
            </w:r>
          </w:p>
        </w:tc>
        <w:tc>
          <w:tcPr>
            <w:tcW w:w="2027" w:type="dxa"/>
            <w:tcBorders>
              <w:top w:val="nil"/>
              <w:left w:val="nil"/>
              <w:bottom w:val="nil"/>
              <w:right w:val="nil"/>
            </w:tcBorders>
            <w:shd w:val="clear" w:color="auto" w:fill="FFFFFF"/>
            <w:tcMar>
              <w:top w:w="144" w:type="dxa"/>
              <w:left w:w="216" w:type="dxa"/>
              <w:bottom w:w="144" w:type="dxa"/>
              <w:right w:w="216" w:type="dxa"/>
            </w:tcMar>
            <w:vAlign w:val="center"/>
          </w:tcPr>
          <w:p w14:paraId="4BCE8672">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传统意义上的残障人士→肢体、感知和认知方面存在障碍的人</w:t>
            </w:r>
          </w:p>
        </w:tc>
        <w:tc>
          <w:tcPr>
            <w:tcW w:w="2133" w:type="dxa"/>
            <w:tcBorders>
              <w:top w:val="nil"/>
              <w:left w:val="nil"/>
              <w:bottom w:val="nil"/>
              <w:right w:val="nil"/>
            </w:tcBorders>
            <w:shd w:val="clear" w:color="auto" w:fill="FFFFFF"/>
            <w:tcMar>
              <w:top w:w="144" w:type="dxa"/>
              <w:left w:w="216" w:type="dxa"/>
              <w:bottom w:w="144" w:type="dxa"/>
              <w:right w:w="216" w:type="dxa"/>
            </w:tcMar>
            <w:vAlign w:val="center"/>
          </w:tcPr>
          <w:p w14:paraId="0B2E5CCF">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有精神或身体残障的人→残障人士等弱势群体→所有人</w:t>
            </w:r>
          </w:p>
        </w:tc>
        <w:tc>
          <w:tcPr>
            <w:tcW w:w="3707" w:type="dxa"/>
            <w:tcBorders>
              <w:top w:val="nil"/>
              <w:left w:val="nil"/>
              <w:bottom w:val="nil"/>
            </w:tcBorders>
            <w:shd w:val="clear" w:color="auto" w:fill="FFFFFF"/>
            <w:tcMar>
              <w:top w:w="144" w:type="dxa"/>
              <w:left w:w="216" w:type="dxa"/>
              <w:bottom w:w="144" w:type="dxa"/>
              <w:right w:w="216" w:type="dxa"/>
            </w:tcMar>
            <w:vAlign w:val="center"/>
          </w:tcPr>
          <w:p w14:paraId="0A8EF428">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肢体残障者→各类残障人士→老年人、孕妇、儿童、临时行动不便者→全人群</w:t>
            </w:r>
          </w:p>
        </w:tc>
      </w:tr>
      <w:tr w14:paraId="69B4C55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3" w:hRule="atLeast"/>
        </w:trPr>
        <w:tc>
          <w:tcPr>
            <w:tcW w:w="1357" w:type="dxa"/>
            <w:tcBorders>
              <w:top w:val="nil"/>
              <w:right w:val="nil"/>
            </w:tcBorders>
            <w:shd w:val="clear" w:color="auto" w:fill="FFFFFF"/>
            <w:tcMar>
              <w:top w:w="144" w:type="dxa"/>
              <w:left w:w="216" w:type="dxa"/>
              <w:bottom w:w="144" w:type="dxa"/>
              <w:right w:w="216" w:type="dxa"/>
            </w:tcMar>
            <w:vAlign w:val="center"/>
          </w:tcPr>
          <w:p w14:paraId="3B92CD98">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主要组织机构及与法规相关的主要任务</w:t>
            </w:r>
          </w:p>
        </w:tc>
        <w:tc>
          <w:tcPr>
            <w:tcW w:w="2027" w:type="dxa"/>
            <w:tcBorders>
              <w:top w:val="nil"/>
              <w:left w:val="nil"/>
              <w:right w:val="nil"/>
            </w:tcBorders>
            <w:shd w:val="clear" w:color="auto" w:fill="FFFFFF"/>
            <w:tcMar>
              <w:top w:w="144" w:type="dxa"/>
              <w:left w:w="216" w:type="dxa"/>
              <w:bottom w:w="144" w:type="dxa"/>
              <w:right w:w="216" w:type="dxa"/>
            </w:tcMar>
            <w:vAlign w:val="center"/>
          </w:tcPr>
          <w:p w14:paraId="4A3EDE83">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中国残疾人联合会：参与研究、制定和实施残障人士事业的法律法规</w:t>
            </w:r>
          </w:p>
        </w:tc>
        <w:tc>
          <w:tcPr>
            <w:tcW w:w="2133" w:type="dxa"/>
            <w:tcBorders>
              <w:top w:val="nil"/>
              <w:left w:val="nil"/>
              <w:right w:val="nil"/>
            </w:tcBorders>
            <w:shd w:val="clear" w:color="auto" w:fill="FFFFFF"/>
            <w:tcMar>
              <w:top w:w="144" w:type="dxa"/>
              <w:left w:w="216" w:type="dxa"/>
              <w:bottom w:w="144" w:type="dxa"/>
              <w:right w:w="216" w:type="dxa"/>
            </w:tcMar>
            <w:vAlign w:val="center"/>
          </w:tcPr>
          <w:p w14:paraId="53DD1812">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加拿大残疾人理事会（CCD）：参与立法审查，捍卫和扩大残障人士的人权</w:t>
            </w:r>
          </w:p>
        </w:tc>
        <w:tc>
          <w:tcPr>
            <w:tcW w:w="3707" w:type="dxa"/>
            <w:tcBorders>
              <w:top w:val="nil"/>
              <w:left w:val="nil"/>
            </w:tcBorders>
            <w:shd w:val="clear" w:color="auto" w:fill="FFFFFF"/>
            <w:tcMar>
              <w:top w:w="144" w:type="dxa"/>
              <w:left w:w="216" w:type="dxa"/>
              <w:bottom w:w="144" w:type="dxa"/>
              <w:right w:w="216" w:type="dxa"/>
            </w:tcMar>
            <w:vAlign w:val="center"/>
          </w:tcPr>
          <w:p w14:paraId="23C93E42">
            <w:pPr>
              <w:pStyle w:val="4"/>
              <w:keepNext w:val="0"/>
              <w:keepLines w:val="0"/>
              <w:pageBreakBefore w:val="0"/>
              <w:widowControl w:val="0"/>
              <w:kinsoku/>
              <w:wordWrap/>
              <w:overflowPunct/>
              <w:topLinePunct w:val="0"/>
              <w:autoSpaceDE/>
              <w:autoSpaceDN/>
              <w:bidi w:val="0"/>
              <w:adjustRightInd/>
              <w:snapToGrid/>
              <w:spacing w:line="240" w:lineRule="auto"/>
              <w:textAlignment w:val="auto"/>
              <w:rPr>
                <w:b w:val="0"/>
                <w:sz w:val="15"/>
                <w:szCs w:val="15"/>
              </w:rPr>
            </w:pPr>
            <w:r>
              <w:rPr>
                <w:b w:val="0"/>
                <w:sz w:val="15"/>
                <w:szCs w:val="15"/>
                <w:lang w:val="en-US" w:eastAsia="zh-CN"/>
              </w:rPr>
              <w:t>1. 内阁府障碍者政策推进室：统筹全国无障碍政策；2. 障碍者自立支援机构：协助标准制定、监督执行及效果评估；3. 日本无障碍协会：提供技术支持与行业交流</w:t>
            </w:r>
          </w:p>
        </w:tc>
      </w:tr>
    </w:tbl>
    <w:p w14:paraId="0764AA65">
      <w:pPr>
        <w:pStyle w:val="4"/>
        <w:jc w:val="center"/>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：中日加无障碍政策对比表</w:t>
      </w:r>
    </w:p>
    <w:p w14:paraId="4EAE0976">
      <w:pPr>
        <w:bidi w:val="0"/>
        <w:ind w:firstLine="480" w:firstLineChars="200"/>
      </w:pPr>
      <w:r>
        <w:t>三国政策在驱动模式、实施机制与覆盖范围上差异显著。中国以 “政府主导 + 国家立法引领” 为主，国家法规先行后地方细化，保障对象聚焦残障人士。加拿大是 “社会参与 + 地方试点先行”，残障团体深度参与法规修订，以反歧视为核心导向，覆盖所有人群。日本则是 “多方协同 + 精细化立法”，国家法引领、地方细则补充，秉持 “全民共享” 理念，覆盖全人群且实施兼具强制与激励性。</w:t>
      </w:r>
    </w:p>
    <w:p w14:paraId="3EE20218">
      <w:pPr>
        <w:bidi w:val="0"/>
        <w:ind w:firstLine="480" w:firstLineChars="200"/>
      </w:pPr>
      <w:r>
        <w:t>我国可针对性借鉴加拿大与日本的政策实践。制定层面，参考加拿大模式，强化残障组织与用户话语权，建立 “需求 - 标准 - 改造 - 反馈” 闭环，弥补设计与需求脱节问题。标准层面，借鉴日本精细化理念，补充设施细节量化指标，拓展保障范围至全人群，推动政策向 “全民包容” 转型。实施监督层面，融合两国优势，将区域覆盖率、满意度纳入考核，建立年度进展报告制度，化解区域资源配置失衡，实现从 “覆盖达标” 到 “质量提升” 的转型。</w:t>
      </w:r>
    </w:p>
    <w:p w14:paraId="77C60BB4">
      <w:pPr>
        <w:bidi w:val="0"/>
        <w:ind w:firstLine="480" w:firstLineChars="200"/>
      </w:pPr>
    </w:p>
    <w:p w14:paraId="15F2AEE7">
      <w:pPr>
        <w:bidi w:val="0"/>
        <w:rPr>
          <w:rFonts w:hint="eastAsia"/>
          <w:b/>
          <w:bCs/>
          <w:lang w:val="en-US" w:eastAsia="zh-CN"/>
        </w:rPr>
      </w:pPr>
      <w:r>
        <w:rPr>
          <w:rFonts w:hint="eastAsia"/>
          <w:b/>
          <w:bCs/>
          <w:lang w:val="en-US" w:eastAsia="zh-CN"/>
        </w:rPr>
        <w:t>（四）对无障碍建设的底层建议</w:t>
      </w:r>
    </w:p>
    <w:p w14:paraId="2F30230E">
      <w:pPr>
        <w:bidi w:val="0"/>
        <w:rPr>
          <w:rFonts w:hint="default" w:eastAsia="宋体"/>
          <w:b/>
          <w:bCs/>
          <w:lang w:val="en-US" w:eastAsia="zh-CN"/>
        </w:rPr>
      </w:pPr>
      <w:r>
        <w:rPr>
          <w:rFonts w:hint="eastAsia"/>
          <w:b/>
          <w:bCs/>
          <w:lang w:val="en-US" w:eastAsia="zh-CN"/>
        </w:rPr>
        <w:t>4.1 学术活跃与着重大众话语权</w:t>
      </w:r>
    </w:p>
    <w:p w14:paraId="06C7E87D">
      <w:pPr>
        <w:bidi w:val="0"/>
        <w:ind w:firstLine="480" w:firstLineChars="200"/>
        <w:rPr>
          <w:rFonts w:hint="default"/>
          <w:lang w:val="en-US" w:eastAsia="zh-CN"/>
        </w:rPr>
      </w:pPr>
      <w:r>
        <w:rPr>
          <w:rFonts w:ascii="宋体" w:hAnsi="宋体" w:eastAsia="宋体" w:cs="宋体"/>
          <w:sz w:val="24"/>
          <w:szCs w:val="24"/>
        </w:rPr>
        <w:t>从无障碍环境建设的发展路径来看，政府主导的制度规划固然构成了基础性驱动力，但政策有效落地同样依赖持续的学术研究支持与社会公众话语的参与度。在对比中日两国无障碍建设领域的文献数量后可以发现，我国在该领域的学术研究总体活跃度明显偏低，尤其在细分议题、用户体验研究、需求挖掘方法、评价体系构建等方面，研究密度均不及日本。这种研究生态差距直接影响政策细化能力与场景化技术规范的成熟度，进一步削弱了实践环节中对残障群体真实需求的捕捉能力。</w:t>
      </w:r>
      <w:r>
        <w:rPr>
          <w:rFonts w:hint="default"/>
          <w:lang w:val="en-US" w:eastAsia="zh-CN"/>
        </w:rPr>
        <w:drawing>
          <wp:inline distT="0" distB="0" distL="114300" distR="114300">
            <wp:extent cx="5266690" cy="2595880"/>
            <wp:effectExtent l="0" t="0" r="6350" b="10160"/>
            <wp:docPr id="8" name="图片 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_1"/>
                    <pic:cNvPicPr>
                      <a:picLocks noChangeAspect="1"/>
                    </pic:cNvPicPr>
                  </pic:nvPicPr>
                  <pic:blipFill>
                    <a:blip r:embed="rId17"/>
                    <a:stretch>
                      <a:fillRect/>
                    </a:stretch>
                  </pic:blipFill>
                  <pic:spPr>
                    <a:xfrm>
                      <a:off x="0" y="0"/>
                      <a:ext cx="5266690" cy="2595880"/>
                    </a:xfrm>
                    <a:prstGeom prst="rect">
                      <a:avLst/>
                    </a:prstGeom>
                  </pic:spPr>
                </pic:pic>
              </a:graphicData>
            </a:graphic>
          </wp:inline>
        </w:drawing>
      </w:r>
    </w:p>
    <w:p w14:paraId="4D6B5523">
      <w:pPr>
        <w:pStyle w:val="4"/>
        <w:bidi w:val="0"/>
        <w:jc w:val="center"/>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：中日关于无障碍法实施建议的论文统计数</w:t>
      </w:r>
    </w:p>
    <w:p w14:paraId="6444DF1C">
      <w:pPr>
        <w:ind w:firstLine="420" w:firstLineChars="0"/>
        <w:rPr>
          <w:rFonts w:hint="eastAsia"/>
          <w:lang w:eastAsia="zh-CN"/>
        </w:rPr>
      </w:pPr>
    </w:p>
    <w:p w14:paraId="4C3A8890">
      <w:pPr>
        <w:bidi w:val="0"/>
        <w:ind w:firstLine="480" w:firstLineChars="200"/>
        <w:rPr>
          <w:rFonts w:ascii="宋体" w:hAnsi="宋体" w:eastAsia="宋体" w:cs="宋体"/>
          <w:sz w:val="24"/>
          <w:szCs w:val="24"/>
        </w:rPr>
      </w:pPr>
      <w:r>
        <w:rPr>
          <w:rFonts w:ascii="宋体" w:hAnsi="宋体" w:eastAsia="宋体" w:cs="宋体"/>
          <w:sz w:val="24"/>
          <w:szCs w:val="24"/>
        </w:rPr>
        <w:t>为了进一步验证这一判断，我将收集到的中文论文标题与关键词构建成 paper.csv 数据集，并利用关键词共现图谱开展社区划分分析。结果显示，中文论文主要集中于“宏观政策设计”“规划制度”“法规原则”等上层视角，而关于“残障人士真实体验”“个体差异”“使用场景与行为模式”“服务质量评价”等面向人的研究占比显著不足，呈现出明显的结构性偏向。这意味着我国无障碍领域的知识生产仍然以“结构—制度—规范”为主，而对“人—行为—体验”的关注尚未形成稳定的研究传统。</w:t>
      </w:r>
    </w:p>
    <w:p w14:paraId="40285EC6">
      <w:pPr>
        <w:bidi w:val="0"/>
        <w:ind w:firstLine="480" w:firstLineChars="200"/>
      </w:pPr>
      <w:r>
        <w:drawing>
          <wp:inline distT="0" distB="0" distL="114300" distR="114300">
            <wp:extent cx="5262880" cy="3547110"/>
            <wp:effectExtent l="0" t="0" r="10160" b="38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8"/>
                    <a:stretch>
                      <a:fillRect/>
                    </a:stretch>
                  </pic:blipFill>
                  <pic:spPr>
                    <a:xfrm>
                      <a:off x="0" y="0"/>
                      <a:ext cx="5262880" cy="3547110"/>
                    </a:xfrm>
                    <a:prstGeom prst="rect">
                      <a:avLst/>
                    </a:prstGeom>
                    <a:noFill/>
                    <a:ln>
                      <a:noFill/>
                    </a:ln>
                  </pic:spPr>
                </pic:pic>
              </a:graphicData>
            </a:graphic>
          </wp:inline>
        </w:drawing>
      </w:r>
    </w:p>
    <w:p w14:paraId="7AB1765C">
      <w:pPr>
        <w:pStyle w:val="4"/>
        <w:bidi w:val="0"/>
        <w:ind w:firstLine="400" w:firstLineChars="200"/>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：相关论文关键词网络构建</w:t>
      </w:r>
    </w:p>
    <w:p w14:paraId="2F371037">
      <w:pPr>
        <w:ind w:firstLine="480" w:firstLineChars="200"/>
        <w:rPr>
          <w:rFonts w:ascii="宋体" w:hAnsi="宋体" w:eastAsia="宋体" w:cs="宋体"/>
          <w:sz w:val="24"/>
          <w:szCs w:val="24"/>
        </w:rPr>
      </w:pPr>
      <w:r>
        <w:rPr>
          <w:rFonts w:ascii="宋体" w:hAnsi="宋体" w:eastAsia="宋体" w:cs="宋体"/>
          <w:sz w:val="24"/>
          <w:szCs w:val="24"/>
        </w:rPr>
        <w:t>学术活跃度不足将带来两个直接问题：第一，政策制定仍以部门视角为主，缺乏来自使用者的系统性知识输入，导致标准体系难以实现细致化、场景化与可操作化；第二，用户侧的话语权不足，使公众需求难以转化为制度性驱动力，进而弱化“需求—反馈—改进”闭环的运作效率。相比之下，日本在无障碍政策研究中形成了政府、科研机构、行业组织与残障群体“四位一体”的知识生产模式，不仅强化科研支撑，也保障残障人士的议题能够成为政策讨论的核心。</w:t>
      </w:r>
    </w:p>
    <w:p w14:paraId="0FAEB835">
      <w:pPr>
        <w:ind w:firstLine="480" w:firstLineChars="200"/>
        <w:rPr>
          <w:rFonts w:ascii="宋体" w:hAnsi="宋体" w:eastAsia="宋体" w:cs="宋体"/>
          <w:sz w:val="24"/>
          <w:szCs w:val="24"/>
        </w:rPr>
      </w:pPr>
      <w:r>
        <w:rPr>
          <w:rFonts w:ascii="宋体" w:hAnsi="宋体" w:eastAsia="宋体" w:cs="宋体"/>
          <w:sz w:val="24"/>
          <w:szCs w:val="24"/>
        </w:rPr>
        <w:t>因此，从我国现实出发，有必要在政策制定体系之外，构建以科研机构、专业组织、公众社群共同参与的知识生态体系：一方面提升无障碍领域的学术研究活跃度，加大对微观体验、用户行为分析以及需求测量模型的研究投入；另一方面应建立制度化渠道，让残障人士、老年群体及相关倡导组织能够在标准制定、监督评估与政策反馈中拥有实质性话语权，从而使无障碍设施建设真正实现“以人为中心”的进阶转型。</w:t>
      </w:r>
    </w:p>
    <w:p w14:paraId="1F34489A">
      <w:pPr>
        <w:ind w:firstLine="480" w:firstLineChars="200"/>
        <w:rPr>
          <w:rFonts w:hint="default" w:ascii="宋体" w:hAnsi="宋体" w:eastAsia="宋体" w:cs="宋体"/>
          <w:sz w:val="24"/>
          <w:szCs w:val="24"/>
          <w:lang w:val="en-US" w:eastAsia="zh-CN"/>
        </w:rPr>
      </w:pPr>
    </w:p>
    <w:p w14:paraId="1483D6F9">
      <w:pPr>
        <w:rPr>
          <w:rFonts w:hint="eastAsia" w:ascii="宋体" w:hAnsi="宋体" w:cs="宋体"/>
          <w:b/>
          <w:bCs/>
          <w:sz w:val="24"/>
          <w:szCs w:val="24"/>
          <w:lang w:val="en-US" w:eastAsia="zh-CN"/>
        </w:rPr>
      </w:pPr>
      <w:r>
        <w:rPr>
          <w:rFonts w:hint="eastAsia" w:ascii="宋体" w:hAnsi="宋体" w:cs="宋体"/>
          <w:b/>
          <w:bCs/>
          <w:sz w:val="24"/>
          <w:szCs w:val="24"/>
          <w:lang w:val="en-US" w:eastAsia="zh-CN"/>
        </w:rPr>
        <w:t>4.2 对学生群体的建议</w:t>
      </w:r>
    </w:p>
    <w:p w14:paraId="530082F2">
      <w:pPr>
        <w:ind w:firstLine="420" w:firstLineChars="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作为学生，那我们能为无障碍建设做什么呢？</w:t>
      </w:r>
    </w:p>
    <w:p w14:paraId="044E58F0">
      <w:pPr>
        <w:ind w:firstLine="420" w:firstLineChars="0"/>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在引言中，我</w:t>
      </w:r>
      <w:r>
        <w:rPr>
          <w:rFonts w:hint="default" w:ascii="宋体" w:hAnsi="宋体" w:cs="宋体"/>
          <w:b w:val="0"/>
          <w:bCs w:val="0"/>
          <w:sz w:val="24"/>
          <w:szCs w:val="24"/>
          <w:lang w:val="en-US" w:eastAsia="zh-CN"/>
        </w:rPr>
        <w:t>以“高度差争议”为切入点，指出公共交通无障碍设施建设中长期存在的“政策推进—设施落地—用户体验”之间的系统性张力，并提出需从历史、现状与国际对比三个维度加以解释。若将这一逻辑回扣至大学生群体，则可以更清晰地看到：无障碍问题并非只与残障人士有关，而是深植于城市运行、社会正义与公共治理的底层结构之中。因此，大学生作为未来专业人才、公共政策参与者与社会舆论的重要组成，需要在认知、行动与能力建设层面形成有意识的参与路径。</w:t>
      </w:r>
    </w:p>
    <w:p w14:paraId="14D79EA0">
      <w:pPr>
        <w:ind w:firstLine="420" w:firstLineChars="0"/>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第一，提升无障碍意识，将其视为基础公共素养而非专业议题。引言指出公众讨论往往被单一事件触发，而忽略背后的结构性原因，这同样体现在学生群体中。无障碍并不只是建筑学、城市规划或社会保障专业的任务，而是关系到每个人的社会参与权与未来生活质量。</w:t>
      </w:r>
      <w:r>
        <w:rPr>
          <w:rFonts w:hint="eastAsia" w:ascii="宋体" w:hAnsi="宋体" w:cs="宋体"/>
          <w:b w:val="0"/>
          <w:bCs w:val="0"/>
          <w:sz w:val="24"/>
          <w:szCs w:val="24"/>
          <w:lang w:val="en-US" w:eastAsia="zh-CN"/>
        </w:rPr>
        <w:t>我们</w:t>
      </w:r>
      <w:r>
        <w:rPr>
          <w:rFonts w:hint="default" w:ascii="宋体" w:hAnsi="宋体" w:cs="宋体"/>
          <w:b w:val="0"/>
          <w:bCs w:val="0"/>
          <w:sz w:val="24"/>
          <w:szCs w:val="24"/>
          <w:lang w:val="en-US" w:eastAsia="zh-CN"/>
        </w:rPr>
        <w:t>应将无障碍议题纳入公共问题视野，通过课程学习、公共讨论、社会实践等方式形成稳定的关注，而非仅在舆情事件时短暂参与。</w:t>
      </w:r>
    </w:p>
    <w:p w14:paraId="71BF7186">
      <w:pPr>
        <w:ind w:firstLine="420" w:firstLineChars="0"/>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第</w:t>
      </w:r>
      <w:r>
        <w:rPr>
          <w:rFonts w:hint="eastAsia" w:ascii="宋体" w:hAnsi="宋体" w:cs="宋体"/>
          <w:b w:val="0"/>
          <w:bCs w:val="0"/>
          <w:sz w:val="24"/>
          <w:szCs w:val="24"/>
          <w:lang w:val="en-US" w:eastAsia="zh-CN"/>
        </w:rPr>
        <w:t>二</w:t>
      </w:r>
      <w:r>
        <w:rPr>
          <w:rFonts w:hint="default" w:ascii="宋体" w:hAnsi="宋体" w:cs="宋体"/>
          <w:b w:val="0"/>
          <w:bCs w:val="0"/>
          <w:sz w:val="24"/>
          <w:szCs w:val="24"/>
          <w:lang w:val="en-US" w:eastAsia="zh-CN"/>
        </w:rPr>
        <w:t>，从倡议者转变为参与者，推动无障碍议题的知识生产与公共讨论。引言强调事件背后的核心问题需要数据支持、历史脉络与国际参照，而不仅是情绪表达。这为学生参与提供了现实路径：</w:t>
      </w:r>
      <w:r>
        <w:rPr>
          <w:rFonts w:hint="eastAsia" w:ascii="宋体" w:hAnsi="宋体" w:cs="宋体"/>
          <w:b w:val="0"/>
          <w:bCs w:val="0"/>
          <w:sz w:val="24"/>
          <w:szCs w:val="24"/>
          <w:lang w:val="en-US" w:eastAsia="zh-CN"/>
        </w:rPr>
        <w:t>我们</w:t>
      </w:r>
      <w:r>
        <w:rPr>
          <w:rFonts w:hint="default" w:ascii="宋体" w:hAnsi="宋体" w:cs="宋体"/>
          <w:b w:val="0"/>
          <w:bCs w:val="0"/>
          <w:sz w:val="24"/>
          <w:szCs w:val="24"/>
          <w:lang w:val="en-US" w:eastAsia="zh-CN"/>
        </w:rPr>
        <w:t>可以在课程项目、调研报告、社团活动中尝试进行数据采集、用户访谈、案例分析与国际比较，弥补“缺乏使用者视角”的短板。同时，学生也是互联网主要舆论群体，可以通过科学论证与事实揭示，推动公共讨论从情绪主导转向“问题导向—数据支撑—政策建议”的社会模式。</w:t>
      </w:r>
    </w:p>
    <w:p w14:paraId="2A1EAE6B">
      <w:pPr>
        <w:rPr>
          <w:rFonts w:hint="default" w:ascii="宋体" w:hAnsi="宋体" w:cs="宋体"/>
          <w:b w:val="0"/>
          <w:bCs w:val="0"/>
          <w:sz w:val="24"/>
          <w:szCs w:val="24"/>
          <w:lang w:val="en-US" w:eastAsia="zh-CN"/>
        </w:rPr>
      </w:pPr>
    </w:p>
    <w:p w14:paraId="7D84E04B">
      <w:pPr>
        <w:numPr>
          <w:ilvl w:val="0"/>
          <w:numId w:val="0"/>
        </w:numPr>
        <w:ind w:left="0" w:leftChars="0" w:firstLine="0" w:firstLineChars="0"/>
        <w:rPr>
          <w:rFonts w:hint="eastAsia" w:ascii="宋体" w:hAnsi="宋体" w:cs="宋体"/>
          <w:b/>
          <w:bCs/>
          <w:sz w:val="24"/>
          <w:szCs w:val="24"/>
          <w:lang w:val="en-US" w:eastAsia="zh-CN"/>
        </w:rPr>
      </w:pPr>
      <w:r>
        <w:rPr>
          <w:rFonts w:hint="eastAsia" w:ascii="宋体" w:hAnsi="宋体" w:eastAsia="宋体" w:cs="宋体"/>
          <w:b/>
          <w:bCs/>
          <w:color w:val="000000"/>
          <w:kern w:val="0"/>
          <w:sz w:val="24"/>
          <w:szCs w:val="24"/>
          <w:lang w:val="en-US" w:eastAsia="zh-CN" w:bidi="ar-SA"/>
        </w:rPr>
        <w:t>（</w:t>
      </w:r>
      <w:r>
        <w:rPr>
          <w:rFonts w:hint="eastAsia" w:ascii="宋体" w:hAnsi="宋体" w:cs="宋体"/>
          <w:b/>
          <w:bCs/>
          <w:color w:val="000000"/>
          <w:kern w:val="0"/>
          <w:sz w:val="24"/>
          <w:szCs w:val="24"/>
          <w:lang w:val="en-US" w:eastAsia="zh-CN" w:bidi="ar-SA"/>
        </w:rPr>
        <w:t>五</w:t>
      </w:r>
      <w:r>
        <w:rPr>
          <w:rFonts w:hint="eastAsia" w:ascii="宋体" w:hAnsi="宋体" w:eastAsia="宋体" w:cs="宋体"/>
          <w:b/>
          <w:bCs/>
          <w:color w:val="000000"/>
          <w:kern w:val="0"/>
          <w:sz w:val="24"/>
          <w:szCs w:val="24"/>
          <w:lang w:val="en-US" w:eastAsia="zh-CN" w:bidi="ar-SA"/>
        </w:rPr>
        <w:t>）</w:t>
      </w:r>
      <w:r>
        <w:rPr>
          <w:rFonts w:hint="eastAsia" w:ascii="宋体" w:hAnsi="宋体" w:cs="宋体"/>
          <w:b/>
          <w:bCs/>
          <w:sz w:val="24"/>
          <w:szCs w:val="24"/>
          <w:lang w:val="en-US" w:eastAsia="zh-CN"/>
        </w:rPr>
        <w:t>总结</w:t>
      </w:r>
    </w:p>
    <w:p w14:paraId="4B030583">
      <w:pPr>
        <w:numPr>
          <w:ilvl w:val="0"/>
          <w:numId w:val="0"/>
        </w:numPr>
        <w:ind w:leftChars="0" w:firstLine="480" w:firstLineChars="200"/>
        <w:rPr>
          <w:rFonts w:ascii="宋体" w:hAnsi="宋体" w:eastAsia="宋体" w:cs="宋体"/>
          <w:sz w:val="24"/>
          <w:szCs w:val="24"/>
        </w:rPr>
      </w:pPr>
      <w:r>
        <w:rPr>
          <w:rFonts w:ascii="宋体" w:hAnsi="宋体" w:eastAsia="宋体" w:cs="宋体"/>
          <w:sz w:val="24"/>
          <w:szCs w:val="24"/>
        </w:rPr>
        <w:t>回顾全文，本研究以深圳机场“高度差争议”作为问题起点，通过历史纵深、现状数据与国际对照三个层面的分析，揭示了我国公共交通无障碍建设中长期存在的结构性矛盾：政策推进速度、设施实际落地与用户真实体验之间并不同步，覆盖率与满意度之间存在着持续的张力。这一结论并非来自情绪化判断，而是建立在制度沿革、权威统计、现场体验数据以及国际标准体系的交叉验证之上。正是在这一逻辑框架中，数据新闻的本质与意义得以充分展现。</w:t>
      </w:r>
    </w:p>
    <w:p w14:paraId="3920CF80">
      <w:pPr>
        <w:numPr>
          <w:ilvl w:val="0"/>
          <w:numId w:val="0"/>
        </w:numPr>
        <w:ind w:leftChars="0" w:firstLine="480" w:firstLineChars="200"/>
        <w:rPr>
          <w:rFonts w:hint="default" w:ascii="宋体" w:hAnsi="宋体" w:eastAsia="宋体" w:cs="宋体"/>
          <w:sz w:val="24"/>
          <w:szCs w:val="24"/>
          <w:lang w:val="en-US" w:eastAsia="zh-CN"/>
        </w:rPr>
      </w:pPr>
      <w:r>
        <w:rPr>
          <w:rFonts w:ascii="宋体" w:hAnsi="宋体" w:eastAsia="宋体" w:cs="宋体"/>
          <w:sz w:val="24"/>
          <w:szCs w:val="24"/>
        </w:rPr>
        <w:t>本研究最终希望强调：数据新闻不是一种表达形式，而是一种理解社会的能力；不是陪衬，而是让公共议题真正“被看见”的方法论。借助数据、证据与可视化，我们不仅得以将“高度差争议”放回其真正的制度语境中，也能推动公众讨论从情绪化反应走向基于事实的建设性改进，使无障碍建设从政策文本走向真实生活。从这个意义上说，数据新闻不仅是分析工具，也是推动社会治理更透明、更精细、更以人为本的重要力量。</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8D4CB4"/>
    <w:rsid w:val="11113A2F"/>
    <w:rsid w:val="13C73F1E"/>
    <w:rsid w:val="282C1DEC"/>
    <w:rsid w:val="2A5B45F1"/>
    <w:rsid w:val="2F8D6CFD"/>
    <w:rsid w:val="34C12C82"/>
    <w:rsid w:val="36E252E1"/>
    <w:rsid w:val="3EC01285"/>
    <w:rsid w:val="484E298E"/>
    <w:rsid w:val="645E569D"/>
    <w:rsid w:val="7F745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360" w:lineRule="auto"/>
      <w:jc w:val="both"/>
    </w:pPr>
    <w:rPr>
      <w:rFonts w:ascii="Times New Roman" w:hAnsi="Times New Roman" w:eastAsia="宋体" w:cs="宋体"/>
      <w:color w:val="000000"/>
      <w:kern w:val="0"/>
      <w:sz w:val="24"/>
      <w:szCs w:val="21"/>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caption"/>
    <w:basedOn w:val="1"/>
    <w:next w:val="1"/>
    <w:unhideWhenUsed/>
    <w:qFormat/>
    <w:uiPriority w:val="35"/>
    <w:rPr>
      <w:rFonts w:ascii="Arial" w:hAnsi="Arial" w:eastAsia="楷体"/>
      <w:sz w:val="20"/>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Hyperlink"/>
    <w:basedOn w:val="8"/>
    <w:semiHidden/>
    <w:unhideWhenUsed/>
    <w:qFormat/>
    <w:uiPriority w:val="99"/>
    <w:rPr>
      <w:color w:val="0000FF"/>
      <w:u w:val="single"/>
    </w:rPr>
  </w:style>
  <w:style w:type="paragraph" w:customStyle="1" w:styleId="11">
    <w:name w:val="分类号"/>
    <w:basedOn w:val="1"/>
    <w:qFormat/>
    <w:uiPriority w:val="0"/>
    <w:pPr>
      <w:bidi w:val="0"/>
      <w:spacing w:line="240" w:lineRule="auto"/>
    </w:pPr>
    <w:rPr>
      <w:rFonts w:ascii="仿宋_GB2312" w:hAnsi="Times New Roman" w:eastAsia="仿宋_GB2312" w:cs="Times New Roman"/>
      <w:kern w:val="2"/>
      <w:sz w:val="28"/>
      <w:szCs w:val="28"/>
    </w:rPr>
  </w:style>
  <w:style w:type="paragraph" w:customStyle="1" w:styleId="12">
    <w:name w:val="封面日期"/>
    <w:basedOn w:val="1"/>
    <w:qFormat/>
    <w:uiPriority w:val="0"/>
    <w:pPr>
      <w:bidi w:val="0"/>
      <w:spacing w:line="240" w:lineRule="auto"/>
      <w:jc w:val="center"/>
    </w:pPr>
    <w:rPr>
      <w:rFonts w:ascii="黑体" w:hAnsi="Times New Roman" w:eastAsia="黑体" w:cs="Times New Roman"/>
      <w:kern w:val="2"/>
      <w:sz w:val="32"/>
      <w:szCs w:val="32"/>
    </w:rPr>
  </w:style>
  <w:style w:type="paragraph" w:customStyle="1" w:styleId="13">
    <w:name w:val="论文标题"/>
    <w:basedOn w:val="1"/>
    <w:qFormat/>
    <w:uiPriority w:val="0"/>
    <w:pPr>
      <w:bidi w:val="0"/>
      <w:spacing w:line="240" w:lineRule="auto"/>
      <w:jc w:val="center"/>
    </w:pPr>
    <w:rPr>
      <w:rFonts w:ascii="Times New Roman" w:hAnsi="Times New Roman" w:eastAsia="楷体_GB2312" w:cs="Times New Roman"/>
      <w:b/>
      <w:kern w:val="36"/>
      <w:sz w:val="52"/>
      <w:szCs w:val="52"/>
    </w:rPr>
  </w:style>
  <w:style w:type="paragraph" w:customStyle="1" w:styleId="14">
    <w:name w:val="硕士学位论文"/>
    <w:basedOn w:val="1"/>
    <w:qFormat/>
    <w:uiPriority w:val="0"/>
    <w:pPr>
      <w:bidi w:val="0"/>
      <w:spacing w:before="240" w:line="240" w:lineRule="auto"/>
      <w:jc w:val="center"/>
    </w:pPr>
    <w:rPr>
      <w:rFonts w:ascii="Times New Roman" w:hAnsi="Times New Roman" w:cs="Times New Roman"/>
      <w:kern w:val="2"/>
      <w:sz w:val="44"/>
      <w:szCs w:val="44"/>
    </w:rPr>
  </w:style>
  <w:style w:type="paragraph" w:customStyle="1" w:styleId="15">
    <w:name w:val="研究生姓名"/>
    <w:basedOn w:val="1"/>
    <w:qFormat/>
    <w:uiPriority w:val="0"/>
    <w:pPr>
      <w:bidi w:val="0"/>
      <w:spacing w:line="240" w:lineRule="auto"/>
      <w:ind w:firstLine="700" w:firstLineChars="700"/>
    </w:pPr>
    <w:rPr>
      <w:rFonts w:ascii="Times New Roman" w:hAnsi="Times New Roman" w:cs="Times New Roman"/>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1089</Words>
  <Characters>1141</Characters>
  <Lines>0</Lines>
  <Paragraphs>0</Paragraphs>
  <TotalTime>885</TotalTime>
  <ScaleCrop>false</ScaleCrop>
  <LinksUpToDate>false</LinksUpToDate>
  <CharactersWithSpaces>1231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2025-07-02T14:31:00Z</dcterms:created>
  <dc:creator>Administrator</dc:creator>
  <cp:lastModifiedBy>王焕</cp:lastModifiedBy>
  <dcterms:modified xsi:type="dcterms:W3CDTF">2025-12-13T15:07:26Z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6B701AB9141A4834A1CF98085EBDAF15_12</vt:lpwstr>
  </property>
  <property fmtid="{D5CDD505-2E9C-101B-9397-08002B2CF9AE}" pid="4" name="KSOTemplateDocerSaveRecord">
    <vt:lpwstr>eyJoZGlkIjoiYzNjYTc2ZjNjNTkwY2YxMzlkNTAxZmIxNDNkNmIwYTQiLCJ1c2VySWQiOiIxNjYyNTMxMjM2In0=</vt:lpwstr>
  </property>
</Properties>
</file>