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692"/>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The main score is the</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AUC</w:t>
      </w:r>
      <w:r>
        <w:rPr>
          <w:rFonts w:ascii="Times New Roman" w:hAnsi="Times New Roman" w:eastAsia="Times New Roman" w:cs="Times New Roman"/>
          <w:sz w:val="26"/>
          <w:szCs w:val="26"/>
        </w:rPr>
        <w:t xml:space="preserve">, the area under the ROC curve [21]. The ROC curve plots the true-positive rate</w:t>
      </w:r>
      <w:r>
        <w:rPr>
          <w:rFonts w:ascii="Times New Roman" w:hAnsi="Times New Roman" w:eastAsia="Times New Roman" w:cs="Times New Roman"/>
          <w:sz w:val="26"/>
          <w:szCs w:val="26"/>
        </w:rPr>
        <w:t xml:space="preserve"> (TPR, the share of fakes caught) against the false-positive rate (FPR, the share of real faces wrongly flagged) as the decision threshold sweeps across all values, and the AUC is the area under it, obtained by the trapezoidal rule over the curve’s points:</w:t>
      </w:r>
      <w:r>
        <w:rPr>
          <w:rFonts w:ascii="Times New Roman" w:hAnsi="Times New Roman" w:eastAsia="Times New Roman" w:cs="Times New Roman"/>
          <w:sz w:val="26"/>
          <w:szCs w:val="26"/>
        </w:rPr>
      </w:r>
    </w:p>
    <w:p>
      <w:pPr>
        <w:pStyle w:val="691"/>
        <w:pBdr/>
        <w:spacing/>
        <w:ind/>
        <w:rPr>
          <w:rFonts w:ascii="Times New Roman" w:hAnsi="Times New Roman" w:cs="Times New Roman"/>
          <w:sz w:val="26"/>
          <w:szCs w:val="26"/>
        </w:rPr>
      </w:pPr>
      <w:r>
        <w:rPr>
          <w:rFonts w:ascii="Times New Roman" w:hAnsi="Times New Roman" w:eastAsia="Times New Roman" w:cs="Times New Roman"/>
          <w:sz w:val="26"/>
          <w:szCs w:val="26"/>
        </w:rPr>
      </w:r>
      <m:oMathPara>
        <m:oMathParaPr>
          <m:jc m:val="center"/>
        </m:oMathParaPr>
        <m:oMath>
          <m:r>
            <w:rPr>
              <w:rFonts w:hint="default" w:ascii="Cambria Math" w:hAnsi="Cambria Math" w:eastAsia="Cambria Math" w:cs="Cambria Math"/>
              <w:sz w:val="26"/>
              <w:szCs w:val="26"/>
            </w:rPr>
            <m:rPr>
              <m:sty m:val="p"/>
            </m:rPr>
            <m:t>A</m:t>
          </m:r>
          <m:r>
            <w:rPr>
              <w:rFonts w:hint="default" w:ascii="Cambria Math" w:hAnsi="Cambria Math" w:eastAsia="Cambria Math" w:cs="Cambria Math"/>
              <w:sz w:val="26"/>
              <w:szCs w:val="26"/>
            </w:rPr>
            <m:rPr>
              <m:sty m:val="p"/>
            </m:rPr>
            <m:t>U</m:t>
          </m:r>
          <m:r>
            <w:rPr>
              <w:rFonts w:hint="default" w:ascii="Cambria Math" w:hAnsi="Cambria Math" w:eastAsia="Cambria Math" w:cs="Cambria Math"/>
              <w:sz w:val="26"/>
              <w:szCs w:val="26"/>
            </w:rPr>
            <m:rPr>
              <m:sty m:val="p"/>
            </m:rPr>
            <m:t>C</m:t>
          </m:r>
          <m:r>
            <w:rPr>
              <w:rFonts w:hint="default" w:ascii="Cambria Math" w:hAnsi="Cambria Math" w:eastAsia="Cambria Math" w:cs="Cambria Math"/>
              <w:sz w:val="26"/>
              <w:szCs w:val="26"/>
            </w:rPr>
            <m:rPr/>
            <m:t>=</m:t>
          </m:r>
          <m:nary>
            <m:naryPr>
              <m:chr m:val="∑"/>
              <m:grow m:val="off"/>
              <m:limLoc m:val="undOvr"/>
              <m:supHide m:val="on"/>
              <m:ctrlPr>
                <w:rPr>
                  <w:rFonts w:hint="default" w:ascii="Cambria Math" w:hAnsi="Cambria Math" w:eastAsia="Cambria Math" w:cs="Cambria Math"/>
                  <w:sz w:val="26"/>
                </w:rPr>
              </m:ctrlPr>
            </m:naryPr>
            <m:sub>
              <m:r>
                <w:rPr>
                  <w:rFonts w:hint="default" w:ascii="Cambria Math" w:hAnsi="Cambria Math" w:eastAsia="Cambria Math" w:cs="Cambria Math"/>
                  <w:sz w:val="26"/>
                  <w:szCs w:val="26"/>
                </w:rPr>
                <m:rPr/>
                <m:t>i</m:t>
              </m:r>
            </m:sub>
            <m:sup/>
            <m:e>
              <m:f>
                <m:fPr>
                  <m:ctrlPr>
                    <w:rPr>
                      <w:rFonts w:hint="default" w:ascii="Cambria Math" w:hAnsi="Cambria Math" w:eastAsia="Cambria Math" w:cs="Cambria Math"/>
                      <w:sz w:val="26"/>
                    </w:rPr>
                  </m:ctrlPr>
                </m:fPr>
                <m:num>
                  <m:r>
                    <w:rPr>
                      <w:rFonts w:hint="default" w:ascii="Cambria Math" w:hAnsi="Cambria Math" w:eastAsia="Cambria Math" w:cs="Cambria Math"/>
                      <w:sz w:val="26"/>
                      <w:szCs w:val="26"/>
                    </w:rPr>
                    <m:rPr/>
                    <m:t>T</m:t>
                  </m:r>
                  <m:r>
                    <w:rPr>
                      <w:rFonts w:hint="default" w:ascii="Cambria Math" w:hAnsi="Cambria Math" w:eastAsia="Cambria Math" w:cs="Cambria Math"/>
                      <w:sz w:val="26"/>
                      <w:szCs w:val="26"/>
                    </w:rPr>
                    <m:rPr/>
                    <m:t>P</m:t>
                  </m:r>
                  <m:sSub>
                    <m:sSubPr>
                      <m:ctrlPr>
                        <w:rPr>
                          <w:rFonts w:hint="default" w:ascii="Cambria Math" w:hAnsi="Cambria Math" w:eastAsia="Cambria Math" w:cs="Cambria Math"/>
                          <w:sz w:val="26"/>
                        </w:rPr>
                      </m:ctrlPr>
                    </m:sSubPr>
                    <m:e>
                      <m:r>
                        <w:rPr>
                          <w:rFonts w:hint="default" w:ascii="Cambria Math" w:hAnsi="Cambria Math" w:eastAsia="Cambria Math" w:cs="Cambria Math"/>
                          <w:sz w:val="26"/>
                          <w:szCs w:val="26"/>
                        </w:rPr>
                        <m:rPr/>
                        <m:t>R</m:t>
                      </m:r>
                    </m:e>
                    <m:sub>
                      <m:r>
                        <w:rPr>
                          <w:rFonts w:hint="default" w:ascii="Cambria Math" w:hAnsi="Cambria Math" w:eastAsia="Cambria Math" w:cs="Cambria Math"/>
                          <w:sz w:val="26"/>
                          <w:szCs w:val="26"/>
                        </w:rPr>
                        <m:rPr/>
                        <m:t>i</m:t>
                      </m:r>
                    </m:sub>
                  </m:sSub>
                  <m:r>
                    <w:rPr>
                      <w:rFonts w:hint="default" w:ascii="Cambria Math" w:hAnsi="Cambria Math" w:eastAsia="Cambria Math" w:cs="Cambria Math"/>
                      <w:sz w:val="26"/>
                      <w:szCs w:val="26"/>
                    </w:rPr>
                    <m:rPr/>
                    <m:t>+</m:t>
                  </m:r>
                  <m:r>
                    <w:rPr>
                      <w:rFonts w:hint="default" w:ascii="Cambria Math" w:hAnsi="Cambria Math" w:eastAsia="Cambria Math" w:cs="Cambria Math"/>
                      <w:sz w:val="26"/>
                      <w:szCs w:val="26"/>
                    </w:rPr>
                    <m:rPr/>
                    <m:t>T</m:t>
                  </m:r>
                  <m:r>
                    <w:rPr>
                      <w:rFonts w:hint="default" w:ascii="Cambria Math" w:hAnsi="Cambria Math" w:eastAsia="Cambria Math" w:cs="Cambria Math"/>
                      <w:sz w:val="26"/>
                      <w:szCs w:val="26"/>
                    </w:rPr>
                    <m:rPr/>
                    <m:t>P</m:t>
                  </m:r>
                  <m:sSub>
                    <m:sSubPr>
                      <m:ctrlPr>
                        <w:rPr>
                          <w:rFonts w:hint="default" w:ascii="Cambria Math" w:hAnsi="Cambria Math" w:eastAsia="Cambria Math" w:cs="Cambria Math"/>
                          <w:sz w:val="26"/>
                        </w:rPr>
                      </m:ctrlPr>
                    </m:sSubPr>
                    <m:e>
                      <m:r>
                        <w:rPr>
                          <w:rFonts w:hint="default" w:ascii="Cambria Math" w:hAnsi="Cambria Math" w:eastAsia="Cambria Math" w:cs="Cambria Math"/>
                          <w:sz w:val="26"/>
                          <w:szCs w:val="26"/>
                        </w:rPr>
                        <m:rPr/>
                        <m:t>R</m:t>
                      </m:r>
                    </m:e>
                    <m:sub>
                      <m:r>
                        <w:rPr>
                          <w:rFonts w:hint="default" w:ascii="Cambria Math" w:hAnsi="Cambria Math" w:eastAsia="Cambria Math" w:cs="Cambria Math"/>
                          <w:sz w:val="26"/>
                          <w:szCs w:val="26"/>
                        </w:rPr>
                        <m:rPr/>
                        <m:t>i</m:t>
                      </m:r>
                      <m:r>
                        <w:rPr>
                          <w:rFonts w:hint="default" w:ascii="Cambria Math" w:hAnsi="Cambria Math" w:eastAsia="Cambria Math" w:cs="Cambria Math"/>
                          <w:sz w:val="26"/>
                          <w:szCs w:val="26"/>
                        </w:rPr>
                        <m:rPr/>
                        <m:t>−</m:t>
                      </m:r>
                      <m:r>
                        <w:rPr>
                          <w:rFonts w:hint="default" w:ascii="Cambria Math" w:hAnsi="Cambria Math" w:eastAsia="Cambria Math" w:cs="Cambria Math"/>
                          <w:sz w:val="26"/>
                          <w:szCs w:val="26"/>
                        </w:rPr>
                        <m:rPr/>
                        <m:t>1</m:t>
                      </m:r>
                    </m:sub>
                  </m:sSub>
                </m:num>
                <m:den>
                  <m:r>
                    <w:rPr>
                      <w:rFonts w:hint="default" w:ascii="Cambria Math" w:hAnsi="Cambria Math" w:eastAsia="Cambria Math" w:cs="Cambria Math"/>
                      <w:sz w:val="26"/>
                      <w:szCs w:val="26"/>
                    </w:rPr>
                    <m:rPr/>
                    <m:t>2</m:t>
                  </m:r>
                </m:den>
              </m:f>
            </m:e>
          </m:nary>
          <m:r>
            <w:rPr>
              <w:rFonts w:hint="default" w:ascii="Cambria Math" w:hAnsi="Cambria Math" w:eastAsia="Cambria Math" w:cs="Cambria Math"/>
              <w:sz w:val="26"/>
              <w:szCs w:val="26"/>
            </w:rPr>
            <m:rPr/>
            <m:t> </m:t>
          </m:r>
          <m:d>
            <m:dPr>
              <m:begChr m:val="("/>
              <m:endChr m:val=")"/>
              <m:ctrlPr>
                <w:rPr>
                  <w:rFonts w:hint="default" w:ascii="Cambria Math" w:hAnsi="Cambria Math" w:eastAsia="Cambria Math" w:cs="Cambria Math"/>
                  <w:sz w:val="26"/>
                </w:rPr>
              </m:ctrlPr>
            </m:dPr>
            <m:e>
              <m:r>
                <w:rPr>
                  <w:rFonts w:hint="default" w:ascii="Cambria Math" w:hAnsi="Cambria Math" w:eastAsia="Cambria Math" w:cs="Cambria Math"/>
                  <w:sz w:val="26"/>
                  <w:szCs w:val="26"/>
                </w:rPr>
                <m:rPr/>
                <m:t>F</m:t>
              </m:r>
              <m:r>
                <w:rPr>
                  <w:rFonts w:hint="default" w:ascii="Cambria Math" w:hAnsi="Cambria Math" w:eastAsia="Cambria Math" w:cs="Cambria Math"/>
                  <w:sz w:val="26"/>
                  <w:szCs w:val="26"/>
                </w:rPr>
                <m:rPr/>
                <m:t>P</m:t>
              </m:r>
              <m:sSub>
                <m:sSubPr>
                  <m:ctrlPr>
                    <w:rPr>
                      <w:rFonts w:hint="default" w:ascii="Cambria Math" w:hAnsi="Cambria Math" w:eastAsia="Cambria Math" w:cs="Cambria Math"/>
                      <w:sz w:val="26"/>
                    </w:rPr>
                  </m:ctrlPr>
                </m:sSubPr>
                <m:e>
                  <m:r>
                    <w:rPr>
                      <w:rFonts w:hint="default" w:ascii="Cambria Math" w:hAnsi="Cambria Math" w:eastAsia="Cambria Math" w:cs="Cambria Math"/>
                      <w:sz w:val="26"/>
                      <w:szCs w:val="26"/>
                    </w:rPr>
                    <m:rPr/>
                    <m:t>R</m:t>
                  </m:r>
                </m:e>
                <m:sub>
                  <m:r>
                    <w:rPr>
                      <w:rFonts w:hint="default" w:ascii="Cambria Math" w:hAnsi="Cambria Math" w:eastAsia="Cambria Math" w:cs="Cambria Math"/>
                      <w:sz w:val="26"/>
                      <w:szCs w:val="26"/>
                    </w:rPr>
                    <m:rPr/>
                    <m:t>i</m:t>
                  </m:r>
                </m:sub>
              </m:sSub>
              <m:r>
                <w:rPr>
                  <w:rFonts w:hint="default" w:ascii="Cambria Math" w:hAnsi="Cambria Math" w:eastAsia="Cambria Math" w:cs="Cambria Math"/>
                  <w:sz w:val="26"/>
                  <w:szCs w:val="26"/>
                </w:rPr>
                <m:rPr/>
                <m:t>−</m:t>
              </m:r>
              <m:r>
                <w:rPr>
                  <w:rFonts w:hint="default" w:ascii="Cambria Math" w:hAnsi="Cambria Math" w:eastAsia="Cambria Math" w:cs="Cambria Math"/>
                  <w:sz w:val="26"/>
                  <w:szCs w:val="26"/>
                </w:rPr>
                <m:rPr/>
                <m:t>F</m:t>
              </m:r>
              <m:r>
                <w:rPr>
                  <w:rFonts w:hint="default" w:ascii="Cambria Math" w:hAnsi="Cambria Math" w:eastAsia="Cambria Math" w:cs="Cambria Math"/>
                  <w:sz w:val="26"/>
                  <w:szCs w:val="26"/>
                </w:rPr>
                <m:rPr/>
                <m:t>P</m:t>
              </m:r>
              <m:sSub>
                <m:sSubPr>
                  <m:ctrlPr>
                    <w:rPr>
                      <w:rFonts w:hint="default" w:ascii="Cambria Math" w:hAnsi="Cambria Math" w:eastAsia="Cambria Math" w:cs="Cambria Math"/>
                      <w:sz w:val="26"/>
                    </w:rPr>
                  </m:ctrlPr>
                </m:sSubPr>
                <m:e>
                  <m:r>
                    <w:rPr>
                      <w:rFonts w:hint="default" w:ascii="Cambria Math" w:hAnsi="Cambria Math" w:eastAsia="Cambria Math" w:cs="Cambria Math"/>
                      <w:sz w:val="26"/>
                      <w:szCs w:val="26"/>
                    </w:rPr>
                    <m:rPr/>
                    <m:t>R</m:t>
                  </m:r>
                </m:e>
                <m:sub>
                  <m:r>
                    <w:rPr>
                      <w:rFonts w:hint="default" w:ascii="Cambria Math" w:hAnsi="Cambria Math" w:eastAsia="Cambria Math" w:cs="Cambria Math"/>
                      <w:sz w:val="26"/>
                      <w:szCs w:val="26"/>
                    </w:rPr>
                    <m:rPr/>
                    <m:t>i</m:t>
                  </m:r>
                  <m:r>
                    <w:rPr>
                      <w:rFonts w:hint="default" w:ascii="Cambria Math" w:hAnsi="Cambria Math" w:eastAsia="Cambria Math" w:cs="Cambria Math"/>
                      <w:sz w:val="26"/>
                      <w:szCs w:val="26"/>
                    </w:rPr>
                    <m:rPr/>
                    <m:t>−</m:t>
                  </m:r>
                  <m:r>
                    <w:rPr>
                      <w:rFonts w:hint="default" w:ascii="Cambria Math" w:hAnsi="Cambria Math" w:eastAsia="Cambria Math" w:cs="Cambria Math"/>
                      <w:sz w:val="26"/>
                      <w:szCs w:val="26"/>
                    </w:rPr>
                    <m:rPr/>
                    <m:t>1</m:t>
                  </m:r>
                </m:sub>
              </m:sSub>
            </m:e>
          </m:d>
          <m:r>
            <w:rPr>
              <w:rFonts w:hint="default" w:ascii="Cambria Math" w:hAnsi="Cambria Math" w:eastAsia="Cambria Math" w:cs="Cambria Math"/>
              <w:sz w:val="26"/>
              <w:szCs w:val="26"/>
            </w:rPr>
            <m:rPr/>
            <m:t> </m:t>
          </m:r>
          <m:r>
            <w:rPr>
              <w:rFonts w:hint="default" w:ascii="Cambria Math" w:hAnsi="Cambria Math" w:eastAsia="Cambria Math" w:cs="Cambria Math"/>
              <w:sz w:val="26"/>
              <w:szCs w:val="26"/>
            </w:rPr>
            <m:rPr/>
            <m:t>(</m:t>
          </m:r>
          <m:r>
            <w:rPr>
              <w:rFonts w:hint="default" w:ascii="Cambria Math" w:hAnsi="Cambria Math" w:eastAsia="Cambria Math" w:cs="Cambria Math"/>
              <w:sz w:val="26"/>
              <w:szCs w:val="26"/>
            </w:rPr>
            <m:rPr/>
            <m:t>1.5</m:t>
          </m:r>
          <m:r>
            <w:rPr>
              <w:rFonts w:hint="default" w:ascii="Cambria Math" w:hAnsi="Cambria Math" w:eastAsia="Cambria Math" w:cs="Cambria Math"/>
              <w:sz w:val="26"/>
              <w:szCs w:val="26"/>
            </w:rPr>
            <m:rPr/>
            <m:t>)</m:t>
          </m:r>
        </m:oMath>
      </m:oMathPara>
      <w:r>
        <w:rPr>
          <w:rFonts w:ascii="Times New Roman" w:hAnsi="Times New Roman" w:eastAsia="Times New Roman" w:cs="Times New Roman"/>
          <w:sz w:val="26"/>
          <w:szCs w:val="26"/>
        </w:rPr>
      </w:r>
      <w:r>
        <w:rPr>
          <w:rFonts w:ascii="Times New Roman" w:hAnsi="Times New Roman" w:eastAsia="Times New Roman" w:cs="Times New Roman"/>
          <w:sz w:val="26"/>
          <w:szCs w:val="26"/>
        </w:rPr>
      </w:r>
    </w:p>
    <w:p>
      <w:pPr>
        <w:pStyle w:val="692"/>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An AUC o</w:t>
      </w:r>
      <w:r>
        <w:rPr>
          <w:rFonts w:ascii="Times New Roman" w:hAnsi="Times New Roman" w:eastAsia="Times New Roman" w:cs="Times New Roman"/>
          <w:sz w:val="26"/>
          <w:szCs w:val="26"/>
        </w:rPr>
        <w:t xml:space="preserve">f 1.0 is a perfect ranking and 0.5 is no better than a random guess. Equivalently, the AUC is the probability that a randomly chosen fake scores higher than a randomly chosen real face, so it depends only on the ordering of the scores, not on the threshold</w:t>
      </w:r>
      <w:r>
        <w:rPr>
          <w:rFonts w:ascii="Times New Roman" w:hAnsi="Times New Roman" w:eastAsia="Times New Roman" w:cs="Times New Roman"/>
          <w:sz w:val="26"/>
          <w:szCs w:val="26"/>
        </w:rPr>
        <w:t xml:space="preserve"> </w:t>
      </w:r>
      <m:oMath>
        <m:r>
          <w:rPr>
            <w:rFonts w:hint="default" w:ascii="Cambria Math" w:hAnsi="Cambria Math" w:eastAsia="Cambria Math" w:cs="Cambria Math"/>
            <w:sz w:val="26"/>
            <w:szCs w:val="26"/>
          </w:rPr>
          <m:rPr/>
          <m:t>τ</m:t>
        </m:r>
      </m:oMath>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or on the class balance [21]. Both properties matter for deepfake data, where the class mix is uneven and a threshold tuned on one dataset rarely carries over to another.</w:t>
      </w:r>
      <w:r>
        <w:rPr>
          <w:rFonts w:ascii="Times New Roman" w:hAnsi="Times New Roman" w:eastAsia="Times New Roman" w:cs="Times New Roman"/>
          <w:sz w:val="26"/>
          <w:szCs w:val="26"/>
        </w:rPr>
      </w:r>
    </w:p>
    <w:p>
      <w:pPr>
        <w:pStyle w:val="691"/>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A second, related number is the</w:t>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equal error rate</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 xml:space="preserve">(EER), the common value of the false-positive and false-negative </w:t>
      </w:r>
      <w:r>
        <w:rPr>
          <w:rFonts w:ascii="Times New Roman" w:hAnsi="Times New Roman" w:eastAsia="Times New Roman" w:cs="Times New Roman"/>
          <w:sz w:val="26"/>
          <w:szCs w:val="26"/>
        </w:rPr>
        <w:t xml:space="preserve">rates at the threshold where the two are equal. A lower EER means the real and fake score distributions overlap less. Where the AUC ignores the threshold entirely, the EER pins down a single representative threshold, so the two views complement each other.</w:t>
      </w:r>
      <w:r>
        <w:rPr>
          <w:rFonts w:ascii="Times New Roman" w:hAnsi="Times New Roman" w:eastAsia="Times New Roman" w:cs="Times New Roman"/>
          <w:sz w:val="26"/>
          <w:szCs w:val="26"/>
        </w:rPr>
      </w:r>
    </w:p>
    <w:p>
      <w:pPr>
        <w:pStyle w:val="691"/>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All training and evaluation follow </w:t>
      </w:r>
      <w:r>
        <w:rPr>
          <w:rFonts w:ascii="Times New Roman" w:hAnsi="Times New Roman" w:eastAsia="Times New Roman" w:cs="Times New Roman"/>
          <w:sz w:val="26"/>
          <w:szCs w:val="26"/>
        </w:rPr>
        <w:t xml:space="preserve">the DeepfakeBench protocol [4], which fixes the preprocessing, the data splits, and how each metric is computed, so the scores can be lined up directly against published numbers. The AUC is computed frame by frame, each sampled frame scored on its own and </w:t>
      </w:r>
      <w:r>
        <w:rPr>
          <w:rFonts w:ascii="Times New Roman" w:hAnsi="Times New Roman" w:eastAsia="Times New Roman" w:cs="Times New Roman"/>
          <w:sz w:val="26"/>
          <w:szCs w:val="26"/>
        </w:rPr>
        <w:t xml:space="preserve">the metric taken over the whole pool. Plain accuracy is reported only as a secondary figure, since it forces a hard decision at one operating point and is easily skewed by class imbalance, so a model can show high accuracy while still ranking faces poorly.</w:t>
      </w:r>
      <w:r>
        <w:rPr>
          <w:rFonts w:ascii="Times New Roman" w:hAnsi="Times New Roman" w:eastAsia="Times New Roman" w:cs="Times New Roman"/>
          <w:sz w:val="26"/>
          <w:szCs w:val="26"/>
        </w:rPr>
      </w:r>
    </w:p>
    <w:p>
      <w:pPr>
        <w:pStyle w:val="691"/>
        <w:pBdr/>
        <w:spacing/>
        <w:ind/>
        <w:rPr>
          <w:rFonts w:ascii="Times New Roman" w:hAnsi="Times New Roman" w:cs="Times New Roman"/>
          <w:sz w:val="26"/>
          <w:szCs w:val="26"/>
        </w:rPr>
      </w:pPr>
      <w:r>
        <w:rPr>
          <w:rFonts w:ascii="Times New Roman" w:hAnsi="Times New Roman" w:eastAsia="Times New Roman" w:cs="Times New Roman"/>
          <w:sz w:val="26"/>
          <w:szCs w:val="26"/>
        </w:rPr>
        <w:t xml:space="preserve">The presentation-attack metrics APCER, BPCER, and ACER belong to the liveness task rather than to forgery classification, and they are defined in Section 1.4.2.</w:t>
      </w:r>
      <w:r>
        <w:rPr>
          <w:rFonts w:ascii="Times New Roman" w:hAnsi="Times New Roman" w:eastAsia="Times New Roman" w:cs="Times New Roman"/>
          <w:sz w:val="26"/>
          <w:szCs w:val="26"/>
        </w:rPr>
      </w:r>
    </w:p>
    <w:sectPr>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Consolas">
    <w:panose1 w:val="020B060603050402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1AE401"/>
    <w:lvl w:ilvl="0">
      <w:isLgl w:val="false"/>
      <w:lvlJc w:val="left"/>
      <w:lvlText w:val=" "/>
      <w:numFmt w:val="bullet"/>
      <w:pPr>
        <w:pBdr/>
        <w:tabs>
          <w:tab w:val="num" w:leader="none" w:pos="0"/>
        </w:tabs>
        <w:spacing/>
        <w:ind w:hanging="480" w:left="480"/>
      </w:pPr>
      <w:rPr/>
      <w:start w:val="0"/>
      <w:suff w:val="tab"/>
    </w:lvl>
    <w:lvl w:ilvl="1">
      <w:isLgl w:val="false"/>
      <w:lvlJc w:val="left"/>
      <w:lvlText w:val=" "/>
      <w:numFmt w:val="bullet"/>
      <w:pPr>
        <w:pBdr/>
        <w:tabs>
          <w:tab w:val="num" w:leader="none" w:pos="720"/>
        </w:tabs>
        <w:spacing/>
        <w:ind w:hanging="480" w:left="1200"/>
      </w:pPr>
      <w:rPr/>
      <w:start w:val="0"/>
      <w:suff w:val="tab"/>
    </w:lvl>
    <w:lvl w:ilvl="2">
      <w:isLgl w:val="false"/>
      <w:lvlJc w:val="left"/>
      <w:lvlText w:val=" "/>
      <w:numFmt w:val="bullet"/>
      <w:pPr>
        <w:pBdr/>
        <w:tabs>
          <w:tab w:val="num" w:leader="none" w:pos="1440"/>
        </w:tabs>
        <w:spacing/>
        <w:ind w:hanging="480" w:left="1920"/>
      </w:pPr>
      <w:rPr/>
      <w:start w:val="0"/>
      <w:suff w:val="tab"/>
    </w:lvl>
    <w:lvl w:ilvl="3">
      <w:isLgl w:val="false"/>
      <w:lvlJc w:val="left"/>
      <w:lvlText w:val=" "/>
      <w:numFmt w:val="bullet"/>
      <w:pPr>
        <w:pBdr/>
        <w:tabs>
          <w:tab w:val="num" w:leader="none" w:pos="2160"/>
        </w:tabs>
        <w:spacing/>
        <w:ind w:hanging="480" w:left="2640"/>
      </w:pPr>
      <w:rPr/>
      <w:start w:val="0"/>
      <w:suff w:val="tab"/>
    </w:lvl>
    <w:lvl w:ilvl="4">
      <w:isLgl w:val="false"/>
      <w:lvlJc w:val="left"/>
      <w:lvlText w:val=" "/>
      <w:numFmt w:val="bullet"/>
      <w:pPr>
        <w:pBdr/>
        <w:tabs>
          <w:tab w:val="num" w:leader="none" w:pos="2880"/>
        </w:tabs>
        <w:spacing/>
        <w:ind w:hanging="480" w:left="3360"/>
      </w:pPr>
      <w:rPr/>
      <w:start w:val="0"/>
      <w:suff w:val="tab"/>
    </w:lvl>
    <w:lvl w:ilvl="5">
      <w:isLgl w:val="false"/>
      <w:lvlJc w:val="left"/>
      <w:lvlText w:val=" "/>
      <w:numFmt w:val="bullet"/>
      <w:pPr>
        <w:pBdr/>
        <w:tabs>
          <w:tab w:val="num" w:leader="none" w:pos="3600"/>
        </w:tabs>
        <w:spacing/>
        <w:ind w:hanging="480" w:left="4080"/>
      </w:pPr>
      <w:rPr/>
      <w:start w:val="0"/>
      <w:suff w:val="tab"/>
    </w:lvl>
    <w:lvl w:ilvl="6">
      <w:isLgl w:val="false"/>
      <w:lvlJc w:val="left"/>
      <w:lvlText w:val=" "/>
      <w:numFmt w:val="bullet"/>
      <w:pPr>
        <w:pBdr/>
        <w:tabs>
          <w:tab w:val="num" w:leader="none" w:pos="4320"/>
        </w:tabs>
        <w:spacing/>
        <w:ind w:hanging="480" w:left="4800"/>
      </w:pPr>
      <w:rPr/>
      <w:start w:val="0"/>
      <w:suff w:val="tab"/>
    </w:lvl>
    <w:lvl w:ilvl="7">
      <w:isLgl w:val="false"/>
      <w:lvlJc w:val="left"/>
      <w:lvlText w:val=" "/>
      <w:numFmt w:val="bullet"/>
      <w:pPr>
        <w:pBdr/>
        <w:tabs>
          <w:tab w:val="num" w:leader="none" w:pos="5040"/>
        </w:tabs>
        <w:spacing/>
        <w:ind w:hanging="480" w:left="5520"/>
      </w:pPr>
      <w:rPr/>
      <w:start w:val="0"/>
      <w:suff w:val="tab"/>
    </w:lvl>
    <w:lvl w:ilvl="8">
      <w:isLgl w:val="false"/>
      <w:lvlJc w:val="left"/>
      <w:lvlText w:val=" "/>
      <w:numFmt w:val="bullet"/>
      <w:pPr>
        <w:pBdr/>
        <w:tabs>
          <w:tab w:val="num" w:leader="none" w:pos="5760"/>
        </w:tabs>
        <w:spacing/>
        <w:ind w:hanging="480" w:left="6240"/>
      </w:pPr>
      <w:rPr/>
      <w:start w:val="0"/>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Lucida Grande"/>
    <m:brkBin m:val="before"/>
    <m:brkBinSub m:val="--"/>
    <m:smallFrac m:val="false"/>
    <m:dispDef m:val="false"/>
    <m:lMargin m:val="0"/>
    <m:rMargin m:val="0"/>
    <m:wrapRight m:val="true"/>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character" w:styleId="150">
    <w:name w:val="Heading 1 Char"/>
    <w:basedOn w:val="711"/>
    <w:link w:val="700"/>
    <w:uiPriority w:val="9"/>
    <w:pPr>
      <w:pBdr/>
      <w:spacing/>
      <w:ind/>
    </w:pPr>
    <w:rPr>
      <w:rFonts w:ascii="Arial" w:hAnsi="Arial" w:eastAsia="Arial" w:cs="Arial"/>
      <w:color w:val="0f4761" w:themeColor="accent1" w:themeShade="BF"/>
      <w:sz w:val="40"/>
      <w:szCs w:val="40"/>
    </w:rPr>
  </w:style>
  <w:style w:type="character" w:styleId="151">
    <w:name w:val="Heading 2 Char"/>
    <w:basedOn w:val="711"/>
    <w:link w:val="701"/>
    <w:uiPriority w:val="9"/>
    <w:pPr>
      <w:pBdr/>
      <w:spacing/>
      <w:ind/>
    </w:pPr>
    <w:rPr>
      <w:rFonts w:ascii="Arial" w:hAnsi="Arial" w:eastAsia="Arial" w:cs="Arial"/>
      <w:color w:val="0f4761" w:themeColor="accent1" w:themeShade="BF"/>
      <w:sz w:val="32"/>
      <w:szCs w:val="32"/>
    </w:rPr>
  </w:style>
  <w:style w:type="character" w:styleId="152">
    <w:name w:val="Heading 3 Char"/>
    <w:basedOn w:val="711"/>
    <w:link w:val="702"/>
    <w:uiPriority w:val="9"/>
    <w:pPr>
      <w:pBdr/>
      <w:spacing/>
      <w:ind/>
    </w:pPr>
    <w:rPr>
      <w:rFonts w:ascii="Arial" w:hAnsi="Arial" w:eastAsia="Arial" w:cs="Arial"/>
      <w:color w:val="0f4761" w:themeColor="accent1" w:themeShade="BF"/>
      <w:sz w:val="28"/>
      <w:szCs w:val="28"/>
    </w:rPr>
  </w:style>
  <w:style w:type="character" w:styleId="153">
    <w:name w:val="Heading 4 Char"/>
    <w:basedOn w:val="711"/>
    <w:link w:val="703"/>
    <w:uiPriority w:val="9"/>
    <w:pPr>
      <w:pBdr/>
      <w:spacing/>
      <w:ind/>
    </w:pPr>
    <w:rPr>
      <w:rFonts w:ascii="Arial" w:hAnsi="Arial" w:eastAsia="Arial" w:cs="Arial"/>
      <w:i/>
      <w:iCs/>
      <w:color w:val="0f4761" w:themeColor="accent1" w:themeShade="BF"/>
    </w:rPr>
  </w:style>
  <w:style w:type="character" w:styleId="154">
    <w:name w:val="Heading 5 Char"/>
    <w:basedOn w:val="711"/>
    <w:link w:val="704"/>
    <w:uiPriority w:val="9"/>
    <w:pPr>
      <w:pBdr/>
      <w:spacing/>
      <w:ind/>
    </w:pPr>
    <w:rPr>
      <w:rFonts w:ascii="Arial" w:hAnsi="Arial" w:eastAsia="Arial" w:cs="Arial"/>
      <w:color w:val="0f4761" w:themeColor="accent1" w:themeShade="BF"/>
    </w:rPr>
  </w:style>
  <w:style w:type="character" w:styleId="155">
    <w:name w:val="Heading 6 Char"/>
    <w:basedOn w:val="711"/>
    <w:link w:val="705"/>
    <w:uiPriority w:val="9"/>
    <w:pPr>
      <w:pBdr/>
      <w:spacing/>
      <w:ind/>
    </w:pPr>
    <w:rPr>
      <w:rFonts w:ascii="Arial" w:hAnsi="Arial" w:eastAsia="Arial" w:cs="Arial"/>
      <w:i/>
      <w:iCs/>
      <w:color w:val="595959" w:themeColor="text1" w:themeTint="A6"/>
    </w:rPr>
  </w:style>
  <w:style w:type="character" w:styleId="156">
    <w:name w:val="Heading 7 Char"/>
    <w:basedOn w:val="711"/>
    <w:link w:val="706"/>
    <w:uiPriority w:val="9"/>
    <w:pPr>
      <w:pBdr/>
      <w:spacing/>
      <w:ind/>
    </w:pPr>
    <w:rPr>
      <w:rFonts w:ascii="Arial" w:hAnsi="Arial" w:eastAsia="Arial" w:cs="Arial"/>
      <w:color w:val="595959" w:themeColor="text1" w:themeTint="A6"/>
    </w:rPr>
  </w:style>
  <w:style w:type="character" w:styleId="157">
    <w:name w:val="Heading 8 Char"/>
    <w:basedOn w:val="711"/>
    <w:link w:val="707"/>
    <w:uiPriority w:val="9"/>
    <w:pPr>
      <w:pBdr/>
      <w:spacing/>
      <w:ind/>
    </w:pPr>
    <w:rPr>
      <w:rFonts w:ascii="Arial" w:hAnsi="Arial" w:eastAsia="Arial" w:cs="Arial"/>
      <w:i/>
      <w:iCs/>
      <w:color w:val="272727" w:themeColor="text1" w:themeTint="D8"/>
    </w:rPr>
  </w:style>
  <w:style w:type="character" w:styleId="158">
    <w:name w:val="Heading 9 Char"/>
    <w:basedOn w:val="711"/>
    <w:link w:val="708"/>
    <w:uiPriority w:val="9"/>
    <w:pPr>
      <w:pBdr/>
      <w:spacing/>
      <w:ind/>
    </w:pPr>
    <w:rPr>
      <w:rFonts w:ascii="Arial" w:hAnsi="Arial" w:eastAsia="Arial" w:cs="Arial"/>
      <w:i/>
      <w:iCs/>
      <w:color w:val="272727" w:themeColor="text1" w:themeTint="D8"/>
    </w:rPr>
  </w:style>
  <w:style w:type="character" w:styleId="160">
    <w:name w:val="Title Char"/>
    <w:basedOn w:val="711"/>
    <w:link w:val="694"/>
    <w:uiPriority w:val="10"/>
    <w:pPr>
      <w:pBdr/>
      <w:spacing/>
      <w:ind/>
    </w:pPr>
    <w:rPr>
      <w:rFonts w:ascii="Arial" w:hAnsi="Arial" w:eastAsia="Arial" w:cs="Arial"/>
      <w:spacing w:val="-10"/>
      <w:sz w:val="56"/>
      <w:szCs w:val="56"/>
    </w:rPr>
  </w:style>
  <w:style w:type="character" w:styleId="162">
    <w:name w:val="Subtitle Char"/>
    <w:basedOn w:val="711"/>
    <w:link w:val="695"/>
    <w:uiPriority w:val="11"/>
    <w:pPr>
      <w:pBdr/>
      <w:spacing/>
      <w:ind/>
    </w:pPr>
    <w:rPr>
      <w:color w:val="595959" w:themeColor="text1" w:themeTint="A6"/>
      <w:spacing w:val="15"/>
      <w:sz w:val="28"/>
      <w:szCs w:val="28"/>
    </w:rPr>
  </w:style>
  <w:style w:type="paragraph" w:styleId="163">
    <w:name w:val="Quote"/>
    <w:basedOn w:val="690"/>
    <w:next w:val="690"/>
    <w:link w:val="164"/>
    <w:uiPriority w:val="29"/>
    <w:qFormat/>
    <w:pPr>
      <w:pBdr/>
      <w:spacing w:before="160"/>
      <w:ind/>
      <w:jc w:val="center"/>
    </w:pPr>
    <w:rPr>
      <w:i/>
      <w:iCs/>
      <w:color w:val="404040" w:themeColor="text1" w:themeTint="BF"/>
    </w:rPr>
  </w:style>
  <w:style w:type="character" w:styleId="164">
    <w:name w:val="Quote Char"/>
    <w:basedOn w:val="711"/>
    <w:link w:val="163"/>
    <w:uiPriority w:val="29"/>
    <w:pPr>
      <w:pBdr/>
      <w:spacing/>
      <w:ind/>
    </w:pPr>
    <w:rPr>
      <w:i/>
      <w:iCs/>
      <w:color w:val="404040" w:themeColor="text1" w:themeTint="BF"/>
    </w:rPr>
  </w:style>
  <w:style w:type="paragraph" w:styleId="165">
    <w:name w:val="List Paragraph"/>
    <w:basedOn w:val="690"/>
    <w:uiPriority w:val="34"/>
    <w:qFormat/>
    <w:pPr>
      <w:pBdr/>
      <w:spacing/>
      <w:ind w:left="720"/>
      <w:contextualSpacing w:val="true"/>
    </w:pPr>
  </w:style>
  <w:style w:type="character" w:styleId="166">
    <w:name w:val="Intense Emphasis"/>
    <w:basedOn w:val="711"/>
    <w:uiPriority w:val="21"/>
    <w:qFormat/>
    <w:pPr>
      <w:pBdr/>
      <w:spacing/>
      <w:ind/>
    </w:pPr>
    <w:rPr>
      <w:i/>
      <w:iCs/>
      <w:color w:val="0f4761" w:themeColor="accent1" w:themeShade="BF"/>
    </w:rPr>
  </w:style>
  <w:style w:type="paragraph" w:styleId="167">
    <w:name w:val="Intense Quote"/>
    <w:basedOn w:val="690"/>
    <w:next w:val="69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11"/>
    <w:link w:val="167"/>
    <w:uiPriority w:val="30"/>
    <w:pPr>
      <w:pBdr/>
      <w:spacing/>
      <w:ind/>
    </w:pPr>
    <w:rPr>
      <w:i/>
      <w:iCs/>
      <w:color w:val="0f4761" w:themeColor="accent1" w:themeShade="BF"/>
    </w:rPr>
  </w:style>
  <w:style w:type="character" w:styleId="169">
    <w:name w:val="Intense Reference"/>
    <w:basedOn w:val="711"/>
    <w:uiPriority w:val="32"/>
    <w:qFormat/>
    <w:pPr>
      <w:pBdr/>
      <w:spacing/>
      <w:ind/>
    </w:pPr>
    <w:rPr>
      <w:b/>
      <w:bCs/>
      <w:smallCaps/>
      <w:color w:val="0f4761" w:themeColor="accent1" w:themeShade="BF"/>
      <w:spacing w:val="5"/>
    </w:rPr>
  </w:style>
  <w:style w:type="paragraph" w:styleId="170">
    <w:name w:val="No Spacing"/>
    <w:basedOn w:val="690"/>
    <w:uiPriority w:val="1"/>
    <w:qFormat/>
    <w:pPr>
      <w:pBdr/>
      <w:spacing w:after="0" w:line="240" w:lineRule="auto"/>
      <w:ind/>
    </w:pPr>
  </w:style>
  <w:style w:type="character" w:styleId="171">
    <w:name w:val="Subtle Emphasis"/>
    <w:basedOn w:val="711"/>
    <w:uiPriority w:val="19"/>
    <w:qFormat/>
    <w:pPr>
      <w:pBdr/>
      <w:spacing/>
      <w:ind/>
    </w:pPr>
    <w:rPr>
      <w:i/>
      <w:iCs/>
      <w:color w:val="404040" w:themeColor="text1" w:themeTint="BF"/>
    </w:rPr>
  </w:style>
  <w:style w:type="character" w:styleId="172">
    <w:name w:val="Emphasis"/>
    <w:basedOn w:val="711"/>
    <w:uiPriority w:val="20"/>
    <w:qFormat/>
    <w:pPr>
      <w:pBdr/>
      <w:spacing/>
      <w:ind/>
    </w:pPr>
    <w:rPr>
      <w:i/>
      <w:iCs/>
    </w:rPr>
  </w:style>
  <w:style w:type="character" w:styleId="173">
    <w:name w:val="Strong"/>
    <w:basedOn w:val="711"/>
    <w:uiPriority w:val="22"/>
    <w:qFormat/>
    <w:pPr>
      <w:pBdr/>
      <w:spacing/>
      <w:ind/>
    </w:pPr>
    <w:rPr>
      <w:b/>
      <w:bCs/>
    </w:rPr>
  </w:style>
  <w:style w:type="character" w:styleId="174">
    <w:name w:val="Subtle Reference"/>
    <w:basedOn w:val="711"/>
    <w:uiPriority w:val="31"/>
    <w:qFormat/>
    <w:pPr>
      <w:pBdr/>
      <w:spacing/>
      <w:ind/>
    </w:pPr>
    <w:rPr>
      <w:smallCaps/>
      <w:color w:val="5a5a5a" w:themeColor="text1" w:themeTint="A5"/>
    </w:rPr>
  </w:style>
  <w:style w:type="character" w:styleId="175">
    <w:name w:val="Book Title"/>
    <w:basedOn w:val="711"/>
    <w:uiPriority w:val="33"/>
    <w:qFormat/>
    <w:pPr>
      <w:pBdr/>
      <w:spacing/>
      <w:ind/>
    </w:pPr>
    <w:rPr>
      <w:b/>
      <w:bCs/>
      <w:i/>
      <w:iCs/>
      <w:spacing w:val="5"/>
    </w:rPr>
  </w:style>
  <w:style w:type="paragraph" w:styleId="176">
    <w:name w:val="Header"/>
    <w:basedOn w:val="690"/>
    <w:link w:val="177"/>
    <w:uiPriority w:val="99"/>
    <w:unhideWhenUsed/>
    <w:pPr>
      <w:pBdr/>
      <w:tabs>
        <w:tab w:val="center" w:leader="none" w:pos="4844"/>
        <w:tab w:val="right" w:leader="none" w:pos="9689"/>
      </w:tabs>
      <w:spacing w:after="0" w:line="240" w:lineRule="auto"/>
      <w:ind/>
    </w:pPr>
  </w:style>
  <w:style w:type="character" w:styleId="177">
    <w:name w:val="Header Char"/>
    <w:basedOn w:val="711"/>
    <w:link w:val="176"/>
    <w:uiPriority w:val="99"/>
    <w:pPr>
      <w:pBdr/>
      <w:spacing/>
      <w:ind/>
    </w:pPr>
  </w:style>
  <w:style w:type="paragraph" w:styleId="178">
    <w:name w:val="Footer"/>
    <w:basedOn w:val="690"/>
    <w:link w:val="179"/>
    <w:uiPriority w:val="99"/>
    <w:unhideWhenUsed/>
    <w:pPr>
      <w:pBdr/>
      <w:tabs>
        <w:tab w:val="center" w:leader="none" w:pos="4844"/>
        <w:tab w:val="right" w:leader="none" w:pos="9689"/>
      </w:tabs>
      <w:spacing w:after="0" w:line="240" w:lineRule="auto"/>
      <w:ind/>
    </w:pPr>
  </w:style>
  <w:style w:type="character" w:styleId="179">
    <w:name w:val="Footer Char"/>
    <w:basedOn w:val="711"/>
    <w:link w:val="178"/>
    <w:uiPriority w:val="99"/>
    <w:pPr>
      <w:pBdr/>
      <w:spacing/>
      <w:ind/>
    </w:pPr>
  </w:style>
  <w:style w:type="character" w:styleId="182">
    <w:name w:val="Footnote Text Char"/>
    <w:basedOn w:val="711"/>
    <w:link w:val="710"/>
    <w:uiPriority w:val="99"/>
    <w:semiHidden/>
    <w:pPr>
      <w:pBdr/>
      <w:spacing/>
      <w:ind/>
    </w:pPr>
    <w:rPr>
      <w:sz w:val="20"/>
      <w:szCs w:val="20"/>
    </w:rPr>
  </w:style>
  <w:style w:type="paragraph" w:styleId="184">
    <w:name w:val="endnote text"/>
    <w:basedOn w:val="690"/>
    <w:link w:val="185"/>
    <w:uiPriority w:val="99"/>
    <w:semiHidden/>
    <w:unhideWhenUsed/>
    <w:pPr>
      <w:pBdr/>
      <w:spacing w:after="0" w:line="240" w:lineRule="auto"/>
      <w:ind/>
    </w:pPr>
    <w:rPr>
      <w:sz w:val="20"/>
      <w:szCs w:val="20"/>
    </w:rPr>
  </w:style>
  <w:style w:type="character" w:styleId="185">
    <w:name w:val="Endnote Text Char"/>
    <w:basedOn w:val="711"/>
    <w:link w:val="184"/>
    <w:uiPriority w:val="99"/>
    <w:semiHidden/>
    <w:pPr>
      <w:pBdr/>
      <w:spacing/>
      <w:ind/>
    </w:pPr>
    <w:rPr>
      <w:sz w:val="20"/>
      <w:szCs w:val="20"/>
    </w:rPr>
  </w:style>
  <w:style w:type="character" w:styleId="186">
    <w:name w:val="endnote reference"/>
    <w:basedOn w:val="711"/>
    <w:uiPriority w:val="99"/>
    <w:semiHidden/>
    <w:unhideWhenUsed/>
    <w:pPr>
      <w:pBdr/>
      <w:spacing/>
      <w:ind/>
    </w:pPr>
    <w:rPr>
      <w:vertAlign w:val="superscript"/>
    </w:rPr>
  </w:style>
  <w:style w:type="character" w:styleId="188">
    <w:name w:val="FollowedHyperlink"/>
    <w:basedOn w:val="711"/>
    <w:uiPriority w:val="99"/>
    <w:semiHidden/>
    <w:unhideWhenUsed/>
    <w:pPr>
      <w:pBdr/>
      <w:spacing/>
      <w:ind/>
    </w:pPr>
    <w:rPr>
      <w:color w:val="954f72" w:themeColor="followedHyperlink"/>
      <w:u w:val="single"/>
    </w:rPr>
  </w:style>
  <w:style w:type="paragraph" w:styleId="189">
    <w:name w:val="toc 1"/>
    <w:basedOn w:val="690"/>
    <w:next w:val="690"/>
    <w:uiPriority w:val="39"/>
    <w:unhideWhenUsed/>
    <w:pPr>
      <w:pBdr/>
      <w:spacing w:after="100"/>
      <w:ind/>
    </w:pPr>
  </w:style>
  <w:style w:type="paragraph" w:styleId="190">
    <w:name w:val="toc 2"/>
    <w:basedOn w:val="690"/>
    <w:next w:val="690"/>
    <w:uiPriority w:val="39"/>
    <w:unhideWhenUsed/>
    <w:pPr>
      <w:pBdr/>
      <w:spacing w:after="100"/>
      <w:ind w:left="220"/>
    </w:pPr>
  </w:style>
  <w:style w:type="paragraph" w:styleId="191">
    <w:name w:val="toc 3"/>
    <w:basedOn w:val="690"/>
    <w:next w:val="690"/>
    <w:uiPriority w:val="39"/>
    <w:unhideWhenUsed/>
    <w:pPr>
      <w:pBdr/>
      <w:spacing w:after="100"/>
      <w:ind w:left="440"/>
    </w:pPr>
  </w:style>
  <w:style w:type="paragraph" w:styleId="192">
    <w:name w:val="toc 4"/>
    <w:basedOn w:val="690"/>
    <w:next w:val="690"/>
    <w:uiPriority w:val="39"/>
    <w:unhideWhenUsed/>
    <w:pPr>
      <w:pBdr/>
      <w:spacing w:after="100"/>
      <w:ind w:left="660"/>
    </w:pPr>
  </w:style>
  <w:style w:type="paragraph" w:styleId="193">
    <w:name w:val="toc 5"/>
    <w:basedOn w:val="690"/>
    <w:next w:val="690"/>
    <w:uiPriority w:val="39"/>
    <w:unhideWhenUsed/>
    <w:pPr>
      <w:pBdr/>
      <w:spacing w:after="100"/>
      <w:ind w:left="880"/>
    </w:pPr>
  </w:style>
  <w:style w:type="paragraph" w:styleId="194">
    <w:name w:val="toc 6"/>
    <w:basedOn w:val="690"/>
    <w:next w:val="690"/>
    <w:uiPriority w:val="39"/>
    <w:unhideWhenUsed/>
    <w:pPr>
      <w:pBdr/>
      <w:spacing w:after="100"/>
      <w:ind w:left="1100"/>
    </w:pPr>
  </w:style>
  <w:style w:type="paragraph" w:styleId="195">
    <w:name w:val="toc 7"/>
    <w:basedOn w:val="690"/>
    <w:next w:val="690"/>
    <w:uiPriority w:val="39"/>
    <w:unhideWhenUsed/>
    <w:pPr>
      <w:pBdr/>
      <w:spacing w:after="100"/>
      <w:ind w:left="1320"/>
    </w:pPr>
  </w:style>
  <w:style w:type="paragraph" w:styleId="196">
    <w:name w:val="toc 8"/>
    <w:basedOn w:val="690"/>
    <w:next w:val="690"/>
    <w:uiPriority w:val="39"/>
    <w:unhideWhenUsed/>
    <w:pPr>
      <w:pBdr/>
      <w:spacing w:after="100"/>
      <w:ind w:left="1540"/>
    </w:pPr>
  </w:style>
  <w:style w:type="paragraph" w:styleId="197">
    <w:name w:val="toc 9"/>
    <w:basedOn w:val="690"/>
    <w:next w:val="690"/>
    <w:uiPriority w:val="39"/>
    <w:unhideWhenUsed/>
    <w:pPr>
      <w:pBdr/>
      <w:spacing w:after="100"/>
      <w:ind w:left="1760"/>
    </w:pPr>
  </w:style>
  <w:style w:type="character" w:styleId="198">
    <w:name w:val="Placeholder Text"/>
    <w:basedOn w:val="711"/>
    <w:uiPriority w:val="99"/>
    <w:semiHidden/>
    <w:pPr>
      <w:pBdr/>
      <w:spacing/>
      <w:ind/>
    </w:pPr>
    <w:rPr>
      <w:color w:val="666666"/>
    </w:rPr>
  </w:style>
  <w:style w:type="paragraph" w:styleId="209">
    <w:name w:val="table of figures"/>
    <w:basedOn w:val="690"/>
    <w:next w:val="690"/>
    <w:uiPriority w:val="99"/>
    <w:unhideWhenUsed/>
    <w:pPr>
      <w:pBdr/>
      <w:spacing w:after="0" w:afterAutospacing="0"/>
      <w:ind/>
    </w:pPr>
  </w:style>
  <w:style w:type="paragraph" w:styleId="690" w:default="1">
    <w:name w:val="Normal"/>
    <w:qFormat/>
    <w:pPr>
      <w:pBdr/>
      <w:spacing/>
      <w:ind/>
    </w:pPr>
  </w:style>
  <w:style w:type="paragraph" w:styleId="691">
    <w:name w:val="Body Text"/>
    <w:basedOn w:val="690"/>
    <w:link w:val="720"/>
    <w:qFormat/>
    <w:pPr>
      <w:pBdr/>
      <w:spacing w:after="180" w:before="180"/>
      <w:ind/>
    </w:pPr>
  </w:style>
  <w:style w:type="paragraph" w:styleId="692" w:customStyle="1">
    <w:name w:val="First Paragraph"/>
    <w:basedOn w:val="691"/>
    <w:next w:val="691"/>
    <w:qFormat/>
    <w:pPr>
      <w:pBdr/>
      <w:spacing/>
      <w:ind/>
    </w:pPr>
  </w:style>
  <w:style w:type="paragraph" w:styleId="693" w:customStyle="1">
    <w:name w:val="Compact"/>
    <w:basedOn w:val="691"/>
    <w:qFormat/>
    <w:pPr>
      <w:pBdr/>
      <w:spacing w:after="36" w:before="36"/>
      <w:ind/>
    </w:pPr>
  </w:style>
  <w:style w:type="paragraph" w:styleId="694">
    <w:name w:val="Title"/>
    <w:basedOn w:val="690"/>
    <w:next w:val="691"/>
    <w:qFormat/>
    <w:pPr>
      <w:keepNext w:val="true"/>
      <w:keepLines w:val="true"/>
      <w:pBdr/>
      <w:spacing w:after="240" w:before="480"/>
      <w:ind/>
      <w:jc w:val="center"/>
    </w:pPr>
    <w:rPr>
      <w:rFonts w:asciiTheme="majorHAnsi" w:hAnsiTheme="majorHAnsi" w:eastAsiaTheme="majorEastAsia" w:cstheme="majorBidi"/>
      <w:b/>
      <w:bCs/>
      <w:color w:val="345a8a" w:themeColor="accent1" w:themeShade="B5"/>
      <w:sz w:val="36"/>
      <w:szCs w:val="36"/>
    </w:rPr>
  </w:style>
  <w:style w:type="paragraph" w:styleId="695">
    <w:name w:val="Subtitle"/>
    <w:basedOn w:val="694"/>
    <w:next w:val="691"/>
    <w:qFormat/>
    <w:pPr>
      <w:keepNext w:val="true"/>
      <w:keepLines w:val="true"/>
      <w:pBdr/>
      <w:spacing w:after="240" w:before="240"/>
      <w:ind/>
      <w:jc w:val="center"/>
    </w:pPr>
    <w:rPr>
      <w:sz w:val="30"/>
      <w:szCs w:val="30"/>
    </w:rPr>
  </w:style>
  <w:style w:type="paragraph" w:styleId="696" w:customStyle="1">
    <w:name w:val="Author"/>
    <w:next w:val="691"/>
    <w:qFormat/>
    <w:pPr>
      <w:keepNext w:val="true"/>
      <w:keepLines w:val="true"/>
      <w:pBdr/>
      <w:spacing/>
      <w:ind/>
      <w:jc w:val="center"/>
    </w:pPr>
  </w:style>
  <w:style w:type="paragraph" w:styleId="697">
    <w:name w:val="Date"/>
    <w:next w:val="691"/>
    <w:qFormat/>
    <w:pPr>
      <w:keepNext w:val="true"/>
      <w:keepLines w:val="true"/>
      <w:pBdr/>
      <w:spacing/>
      <w:ind/>
      <w:jc w:val="center"/>
    </w:pPr>
  </w:style>
  <w:style w:type="paragraph" w:styleId="698" w:customStyle="1">
    <w:name w:val="Abstract"/>
    <w:basedOn w:val="690"/>
    <w:next w:val="691"/>
    <w:qFormat/>
    <w:pPr>
      <w:keepNext w:val="true"/>
      <w:keepLines w:val="true"/>
      <w:pBdr/>
      <w:spacing w:after="300" w:before="300"/>
      <w:ind/>
    </w:pPr>
    <w:rPr>
      <w:sz w:val="20"/>
      <w:szCs w:val="20"/>
    </w:rPr>
  </w:style>
  <w:style w:type="paragraph" w:styleId="699">
    <w:name w:val="Bibliography"/>
    <w:basedOn w:val="690"/>
    <w:next w:val="699"/>
    <w:qFormat/>
    <w:pPr>
      <w:pBdr/>
      <w:spacing/>
      <w:ind/>
    </w:pPr>
  </w:style>
  <w:style w:type="paragraph" w:styleId="700">
    <w:name w:val="Heading 1"/>
    <w:basedOn w:val="690"/>
    <w:next w:val="691"/>
    <w:uiPriority w:val="9"/>
    <w:qFormat/>
    <w:pPr>
      <w:keepNext w:val="true"/>
      <w:keepLines w:val="true"/>
      <w:pBdr/>
      <w:spacing w:after="0" w:before="480"/>
      <w:ind/>
      <w:outlineLvl w:val="0"/>
    </w:pPr>
    <w:rPr>
      <w:rFonts w:asciiTheme="majorHAnsi" w:hAnsiTheme="majorHAnsi" w:eastAsiaTheme="majorEastAsia" w:cstheme="majorBidi"/>
      <w:b/>
      <w:bCs/>
      <w:color w:val="4f81bd" w:themeColor="accent1"/>
      <w:sz w:val="32"/>
      <w:szCs w:val="32"/>
    </w:rPr>
  </w:style>
  <w:style w:type="paragraph" w:styleId="701">
    <w:name w:val="Heading 2"/>
    <w:basedOn w:val="690"/>
    <w:next w:val="691"/>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8"/>
      <w:szCs w:val="28"/>
    </w:rPr>
  </w:style>
  <w:style w:type="paragraph" w:styleId="702">
    <w:name w:val="Heading 3"/>
    <w:basedOn w:val="690"/>
    <w:next w:val="69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sz w:val="24"/>
      <w:szCs w:val="24"/>
    </w:rPr>
  </w:style>
  <w:style w:type="paragraph" w:styleId="703">
    <w:name w:val="Heading 4"/>
    <w:basedOn w:val="690"/>
    <w:next w:val="691"/>
    <w:uiPriority w:val="9"/>
    <w:unhideWhenUsed/>
    <w:qFormat/>
    <w:pPr>
      <w:keepNext w:val="true"/>
      <w:keepLines w:val="true"/>
      <w:pBdr/>
      <w:spacing w:after="0" w:before="200"/>
      <w:ind/>
      <w:outlineLvl w:val="3"/>
    </w:pPr>
    <w:rPr>
      <w:rFonts w:asciiTheme="majorHAnsi" w:hAnsiTheme="majorHAnsi" w:eastAsiaTheme="majorEastAsia" w:cstheme="majorBidi"/>
      <w:bCs/>
      <w:i/>
      <w:color w:val="4f81bd" w:themeColor="accent1"/>
      <w:sz w:val="24"/>
      <w:szCs w:val="24"/>
    </w:rPr>
  </w:style>
  <w:style w:type="paragraph" w:styleId="704">
    <w:name w:val="Heading 5"/>
    <w:basedOn w:val="690"/>
    <w:next w:val="691"/>
    <w:uiPriority w:val="9"/>
    <w:unhideWhenUsed/>
    <w:qFormat/>
    <w:pPr>
      <w:keepNext w:val="true"/>
      <w:keepLines w:val="true"/>
      <w:pBdr/>
      <w:spacing w:after="0" w:before="200"/>
      <w:ind/>
      <w:outlineLvl w:val="4"/>
    </w:pPr>
    <w:rPr>
      <w:rFonts w:asciiTheme="majorHAnsi" w:hAnsiTheme="majorHAnsi" w:eastAsiaTheme="majorEastAsia" w:cstheme="majorBidi"/>
      <w:iCs/>
      <w:color w:val="4f81bd" w:themeColor="accent1"/>
      <w:sz w:val="24"/>
      <w:szCs w:val="24"/>
    </w:rPr>
  </w:style>
  <w:style w:type="paragraph" w:styleId="705">
    <w:name w:val="Heading 6"/>
    <w:basedOn w:val="690"/>
    <w:next w:val="691"/>
    <w:uiPriority w:val="9"/>
    <w:unhideWhenUsed/>
    <w:qFormat/>
    <w:pPr>
      <w:keepNext w:val="true"/>
      <w:keepLines w:val="true"/>
      <w:pBdr/>
      <w:spacing w:after="0" w:before="200"/>
      <w:ind/>
      <w:outlineLvl w:val="5"/>
    </w:pPr>
    <w:rPr>
      <w:rFonts w:asciiTheme="majorHAnsi" w:hAnsiTheme="majorHAnsi" w:eastAsiaTheme="majorEastAsia" w:cstheme="majorBidi"/>
      <w:color w:val="4f81bd" w:themeColor="accent1"/>
      <w:sz w:val="24"/>
      <w:szCs w:val="24"/>
    </w:rPr>
  </w:style>
  <w:style w:type="paragraph" w:styleId="706">
    <w:name w:val="Heading 7"/>
    <w:basedOn w:val="690"/>
    <w:next w:val="691"/>
    <w:uiPriority w:val="9"/>
    <w:unhideWhenUsed/>
    <w:qFormat/>
    <w:pPr>
      <w:keepNext w:val="true"/>
      <w:keepLines w:val="true"/>
      <w:pBdr/>
      <w:spacing w:after="0" w:before="200"/>
      <w:ind/>
      <w:outlineLvl w:val="6"/>
    </w:pPr>
    <w:rPr>
      <w:rFonts w:asciiTheme="majorHAnsi" w:hAnsiTheme="majorHAnsi" w:eastAsiaTheme="majorEastAsia" w:cstheme="majorBidi"/>
      <w:color w:val="4f81bd" w:themeColor="accent1"/>
      <w:sz w:val="24"/>
      <w:szCs w:val="24"/>
    </w:rPr>
  </w:style>
  <w:style w:type="paragraph" w:styleId="707">
    <w:name w:val="Heading 8"/>
    <w:basedOn w:val="690"/>
    <w:next w:val="691"/>
    <w:uiPriority w:val="9"/>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4"/>
      <w:szCs w:val="24"/>
    </w:rPr>
  </w:style>
  <w:style w:type="paragraph" w:styleId="708">
    <w:name w:val="Heading 9"/>
    <w:basedOn w:val="690"/>
    <w:next w:val="691"/>
    <w:uiPriority w:val="9"/>
    <w:unhideWhenUsed/>
    <w:qFormat/>
    <w:pPr>
      <w:keepNext w:val="true"/>
      <w:keepLines w:val="true"/>
      <w:pBdr/>
      <w:spacing w:after="0" w:before="200"/>
      <w:ind/>
      <w:outlineLvl w:val="8"/>
    </w:pPr>
    <w:rPr>
      <w:rFonts w:asciiTheme="majorHAnsi" w:hAnsiTheme="majorHAnsi" w:eastAsiaTheme="majorEastAsia" w:cstheme="majorBidi"/>
      <w:color w:val="4f81bd" w:themeColor="accent1"/>
      <w:sz w:val="24"/>
      <w:szCs w:val="24"/>
    </w:rPr>
  </w:style>
  <w:style w:type="paragraph" w:styleId="709">
    <w:name w:val="Block Text"/>
    <w:basedOn w:val="691"/>
    <w:next w:val="691"/>
    <w:uiPriority w:val="9"/>
    <w:unhideWhenUsed/>
    <w:qFormat/>
    <w:pPr>
      <w:pBdr/>
      <w:spacing w:after="100" w:before="100"/>
      <w:ind w:right="480" w:firstLine="0" w:left="480"/>
    </w:pPr>
  </w:style>
  <w:style w:type="paragraph" w:styleId="710">
    <w:name w:val="footnote text"/>
    <w:basedOn w:val="690"/>
    <w:next w:val="710"/>
    <w:uiPriority w:val="9"/>
    <w:unhideWhenUsed/>
    <w:qFormat/>
    <w:pPr>
      <w:pBdr/>
      <w:spacing/>
      <w:ind/>
    </w:pPr>
  </w:style>
  <w:style w:type="character" w:styleId="711" w:default="1">
    <w:name w:val="Default Paragraph Font"/>
    <w:semiHidden/>
    <w:unhideWhenUsed/>
    <w:pPr>
      <w:pBdr/>
      <w:spacing/>
      <w:ind/>
    </w:pPr>
  </w:style>
  <w:style w:type="table" w:styleId="712">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13" w:customStyle="1">
    <w:name w:val="Definition Term"/>
    <w:basedOn w:val="690"/>
    <w:next w:val="714"/>
    <w:pPr>
      <w:keepNext w:val="true"/>
      <w:keepLines w:val="true"/>
      <w:pBdr/>
      <w:spacing w:after="0"/>
      <w:ind/>
    </w:pPr>
    <w:rPr>
      <w:b/>
    </w:rPr>
  </w:style>
  <w:style w:type="paragraph" w:styleId="714" w:customStyle="1">
    <w:name w:val="Definition"/>
    <w:basedOn w:val="690"/>
    <w:pPr>
      <w:pBdr/>
      <w:spacing/>
      <w:ind/>
    </w:pPr>
  </w:style>
  <w:style w:type="paragraph" w:styleId="715">
    <w:name w:val="Caption"/>
    <w:basedOn w:val="690"/>
    <w:link w:val="720"/>
    <w:pPr>
      <w:pBdr/>
      <w:spacing w:after="120" w:before="0"/>
      <w:ind/>
    </w:pPr>
    <w:rPr>
      <w:i/>
    </w:rPr>
  </w:style>
  <w:style w:type="paragraph" w:styleId="716" w:customStyle="1">
    <w:name w:val="Table Caption"/>
    <w:basedOn w:val="715"/>
    <w:pPr>
      <w:keepNext w:val="true"/>
      <w:pBdr/>
      <w:spacing/>
      <w:ind/>
    </w:pPr>
  </w:style>
  <w:style w:type="paragraph" w:styleId="717" w:customStyle="1">
    <w:name w:val="Image Caption"/>
    <w:basedOn w:val="715"/>
    <w:pPr>
      <w:pBdr/>
      <w:spacing/>
      <w:ind/>
    </w:pPr>
  </w:style>
  <w:style w:type="paragraph" w:styleId="718" w:customStyle="1">
    <w:name w:val="Figure"/>
    <w:basedOn w:val="690"/>
    <w:pPr>
      <w:pBdr/>
      <w:spacing/>
      <w:ind/>
    </w:pPr>
  </w:style>
  <w:style w:type="paragraph" w:styleId="719" w:customStyle="1">
    <w:name w:val="Captioned Figure"/>
    <w:basedOn w:val="718"/>
    <w:pPr>
      <w:keepNext w:val="true"/>
      <w:pBdr/>
      <w:spacing/>
      <w:ind/>
    </w:pPr>
  </w:style>
  <w:style w:type="character" w:styleId="720" w:customStyle="1">
    <w:name w:val="Body Text Char"/>
    <w:basedOn w:val="711"/>
    <w:link w:val="691"/>
    <w:pPr>
      <w:pBdr/>
      <w:spacing/>
      <w:ind/>
    </w:pPr>
  </w:style>
  <w:style w:type="character" w:styleId="721" w:customStyle="1">
    <w:name w:val="Verbatim Char"/>
    <w:basedOn w:val="720"/>
    <w:pPr>
      <w:pBdr/>
      <w:spacing/>
      <w:ind/>
    </w:pPr>
    <w:rPr>
      <w:rFonts w:ascii="Consolas" w:hAnsi="Consolas"/>
      <w:sz w:val="22"/>
    </w:rPr>
  </w:style>
  <w:style w:type="character" w:styleId="722">
    <w:name w:val="footnote reference"/>
    <w:basedOn w:val="720"/>
    <w:pPr>
      <w:pBdr/>
      <w:spacing/>
      <w:ind/>
    </w:pPr>
    <w:rPr>
      <w:vertAlign w:val="superscript"/>
    </w:rPr>
  </w:style>
  <w:style w:type="character" w:styleId="723">
    <w:name w:val="Hyperlink"/>
    <w:basedOn w:val="720"/>
    <w:pPr>
      <w:pBdr/>
      <w:spacing/>
      <w:ind/>
    </w:pPr>
    <w:rPr>
      <w:color w:val="4f81bd" w:themeColor="accent1"/>
    </w:rPr>
  </w:style>
  <w:style w:type="paragraph" w:styleId="724">
    <w:name w:val="TOC Heading"/>
    <w:basedOn w:val="700"/>
    <w:next w:val="691"/>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25" w:customStyle="1">
    <w:name w:val="Source Code"/>
    <w:basedOn w:val="690"/>
    <w:link w:val="721"/>
    <w:pPr>
      <w:pBdr/>
      <w:spacing/>
      <w:ind/>
    </w:pPr>
  </w:style>
  <w:style w:type="character" w:styleId="726" w:customStyle="1">
    <w:name w:val="KeywordTok"/>
    <w:basedOn w:val="721"/>
    <w:pPr>
      <w:pBdr/>
      <w:spacing/>
      <w:ind/>
    </w:pPr>
    <w:rPr>
      <w:b/>
      <w:color w:val="007020"/>
    </w:rPr>
  </w:style>
  <w:style w:type="character" w:styleId="727" w:customStyle="1">
    <w:name w:val="DataTypeTok"/>
    <w:basedOn w:val="721"/>
    <w:pPr>
      <w:pBdr/>
      <w:spacing/>
      <w:ind/>
    </w:pPr>
    <w:rPr>
      <w:color w:val="902000"/>
    </w:rPr>
  </w:style>
  <w:style w:type="character" w:styleId="728" w:customStyle="1">
    <w:name w:val="DecValTok"/>
    <w:basedOn w:val="721"/>
    <w:pPr>
      <w:pBdr/>
      <w:spacing/>
      <w:ind/>
    </w:pPr>
    <w:rPr>
      <w:color w:val="40a070"/>
    </w:rPr>
  </w:style>
  <w:style w:type="character" w:styleId="729" w:customStyle="1">
    <w:name w:val="BaseNTok"/>
    <w:basedOn w:val="721"/>
    <w:pPr>
      <w:pBdr/>
      <w:spacing/>
      <w:ind/>
    </w:pPr>
    <w:rPr>
      <w:color w:val="40a070"/>
    </w:rPr>
  </w:style>
  <w:style w:type="character" w:styleId="730" w:customStyle="1">
    <w:name w:val="FloatTok"/>
    <w:basedOn w:val="721"/>
    <w:pPr>
      <w:pBdr/>
      <w:spacing/>
      <w:ind/>
    </w:pPr>
    <w:rPr>
      <w:color w:val="40a070"/>
    </w:rPr>
  </w:style>
  <w:style w:type="character" w:styleId="731" w:customStyle="1">
    <w:name w:val="ConstantTok"/>
    <w:basedOn w:val="721"/>
    <w:pPr>
      <w:pBdr/>
      <w:spacing/>
      <w:ind/>
    </w:pPr>
    <w:rPr>
      <w:color w:val="880000"/>
    </w:rPr>
  </w:style>
  <w:style w:type="character" w:styleId="732" w:customStyle="1">
    <w:name w:val="CharTok"/>
    <w:basedOn w:val="721"/>
    <w:pPr>
      <w:pBdr/>
      <w:spacing/>
      <w:ind/>
    </w:pPr>
    <w:rPr>
      <w:color w:val="4070a0"/>
    </w:rPr>
  </w:style>
  <w:style w:type="character" w:styleId="733" w:customStyle="1">
    <w:name w:val="SpecialCharTok"/>
    <w:basedOn w:val="721"/>
    <w:pPr>
      <w:pBdr/>
      <w:spacing/>
      <w:ind/>
    </w:pPr>
    <w:rPr>
      <w:color w:val="4070a0"/>
    </w:rPr>
  </w:style>
  <w:style w:type="character" w:styleId="734" w:customStyle="1">
    <w:name w:val="StringTok"/>
    <w:basedOn w:val="721"/>
    <w:pPr>
      <w:pBdr/>
      <w:spacing/>
      <w:ind/>
    </w:pPr>
    <w:rPr>
      <w:color w:val="4070a0"/>
    </w:rPr>
  </w:style>
  <w:style w:type="character" w:styleId="735" w:customStyle="1">
    <w:name w:val="VerbatimStringTok"/>
    <w:basedOn w:val="721"/>
    <w:pPr>
      <w:pBdr/>
      <w:spacing/>
      <w:ind/>
    </w:pPr>
    <w:rPr>
      <w:color w:val="4070a0"/>
    </w:rPr>
  </w:style>
  <w:style w:type="character" w:styleId="736" w:customStyle="1">
    <w:name w:val="SpecialStringTok"/>
    <w:basedOn w:val="721"/>
    <w:pPr>
      <w:pBdr/>
      <w:spacing/>
      <w:ind/>
    </w:pPr>
    <w:rPr>
      <w:color w:val="bb6688"/>
    </w:rPr>
  </w:style>
  <w:style w:type="character" w:styleId="737" w:customStyle="1">
    <w:name w:val="ImportTok"/>
    <w:basedOn w:val="721"/>
    <w:pPr>
      <w:pBdr/>
      <w:spacing/>
      <w:ind/>
    </w:pPr>
  </w:style>
  <w:style w:type="character" w:styleId="738" w:customStyle="1">
    <w:name w:val="CommentTok"/>
    <w:basedOn w:val="721"/>
    <w:pPr>
      <w:pBdr/>
      <w:spacing/>
      <w:ind/>
    </w:pPr>
    <w:rPr>
      <w:i/>
      <w:color w:val="60a0b0"/>
    </w:rPr>
  </w:style>
  <w:style w:type="character" w:styleId="739" w:customStyle="1">
    <w:name w:val="DocumentationTok"/>
    <w:basedOn w:val="721"/>
    <w:pPr>
      <w:pBdr/>
      <w:spacing/>
      <w:ind/>
    </w:pPr>
    <w:rPr>
      <w:i/>
      <w:color w:val="ba2121"/>
    </w:rPr>
  </w:style>
  <w:style w:type="character" w:styleId="740" w:customStyle="1">
    <w:name w:val="AnnotationTok"/>
    <w:basedOn w:val="721"/>
    <w:pPr>
      <w:pBdr/>
      <w:spacing/>
      <w:ind/>
    </w:pPr>
    <w:rPr>
      <w:b/>
      <w:i/>
      <w:color w:val="60a0b0"/>
    </w:rPr>
  </w:style>
  <w:style w:type="character" w:styleId="741" w:customStyle="1">
    <w:name w:val="CommentVarTok"/>
    <w:basedOn w:val="721"/>
    <w:pPr>
      <w:pBdr/>
      <w:spacing/>
      <w:ind/>
    </w:pPr>
    <w:rPr>
      <w:b/>
      <w:i/>
      <w:color w:val="60a0b0"/>
    </w:rPr>
  </w:style>
  <w:style w:type="character" w:styleId="742" w:customStyle="1">
    <w:name w:val="OtherTok"/>
    <w:basedOn w:val="721"/>
    <w:pPr>
      <w:pBdr/>
      <w:spacing/>
      <w:ind/>
    </w:pPr>
    <w:rPr>
      <w:color w:val="007020"/>
    </w:rPr>
  </w:style>
  <w:style w:type="character" w:styleId="743" w:customStyle="1">
    <w:name w:val="FunctionTok"/>
    <w:basedOn w:val="721"/>
    <w:pPr>
      <w:pBdr/>
      <w:spacing/>
      <w:ind/>
    </w:pPr>
    <w:rPr>
      <w:color w:val="06287e"/>
    </w:rPr>
  </w:style>
  <w:style w:type="character" w:styleId="744" w:customStyle="1">
    <w:name w:val="VariableTok"/>
    <w:basedOn w:val="721"/>
    <w:pPr>
      <w:pBdr/>
      <w:spacing/>
      <w:ind/>
    </w:pPr>
    <w:rPr>
      <w:color w:val="19177c"/>
    </w:rPr>
  </w:style>
  <w:style w:type="character" w:styleId="745" w:customStyle="1">
    <w:name w:val="ControlFlowTok"/>
    <w:basedOn w:val="721"/>
    <w:pPr>
      <w:pBdr/>
      <w:spacing/>
      <w:ind/>
    </w:pPr>
    <w:rPr>
      <w:b/>
      <w:color w:val="007020"/>
    </w:rPr>
  </w:style>
  <w:style w:type="character" w:styleId="746" w:customStyle="1">
    <w:name w:val="OperatorTok"/>
    <w:basedOn w:val="721"/>
    <w:pPr>
      <w:pBdr/>
      <w:spacing/>
      <w:ind/>
    </w:pPr>
    <w:rPr>
      <w:color w:val="666666"/>
    </w:rPr>
  </w:style>
  <w:style w:type="character" w:styleId="747" w:customStyle="1">
    <w:name w:val="BuiltInTok"/>
    <w:basedOn w:val="721"/>
    <w:pPr>
      <w:pBdr/>
      <w:spacing/>
      <w:ind/>
    </w:pPr>
  </w:style>
  <w:style w:type="character" w:styleId="748" w:customStyle="1">
    <w:name w:val="ExtensionTok"/>
    <w:basedOn w:val="721"/>
    <w:pPr>
      <w:pBdr/>
      <w:spacing/>
      <w:ind/>
    </w:pPr>
  </w:style>
  <w:style w:type="character" w:styleId="749" w:customStyle="1">
    <w:name w:val="PreprocessorTok"/>
    <w:basedOn w:val="721"/>
    <w:pPr>
      <w:pBdr/>
      <w:spacing/>
      <w:ind/>
    </w:pPr>
    <w:rPr>
      <w:color w:val="bc7a00"/>
    </w:rPr>
  </w:style>
  <w:style w:type="character" w:styleId="750" w:customStyle="1">
    <w:name w:val="AttributeTok"/>
    <w:basedOn w:val="721"/>
    <w:pPr>
      <w:pBdr/>
      <w:spacing/>
      <w:ind/>
    </w:pPr>
    <w:rPr>
      <w:color w:val="7d9029"/>
    </w:rPr>
  </w:style>
  <w:style w:type="character" w:styleId="751" w:customStyle="1">
    <w:name w:val="RegionMarkerTok"/>
    <w:basedOn w:val="721"/>
    <w:pPr>
      <w:pBdr/>
      <w:spacing/>
      <w:ind/>
    </w:pPr>
  </w:style>
  <w:style w:type="character" w:styleId="752" w:customStyle="1">
    <w:name w:val="InformationTok"/>
    <w:basedOn w:val="721"/>
    <w:pPr>
      <w:pBdr/>
      <w:spacing/>
      <w:ind/>
    </w:pPr>
    <w:rPr>
      <w:b/>
      <w:i/>
      <w:color w:val="60a0b0"/>
    </w:rPr>
  </w:style>
  <w:style w:type="character" w:styleId="753" w:customStyle="1">
    <w:name w:val="WarningTok"/>
    <w:basedOn w:val="721"/>
    <w:pPr>
      <w:pBdr/>
      <w:spacing/>
      <w:ind/>
    </w:pPr>
    <w:rPr>
      <w:b/>
      <w:i/>
      <w:color w:val="60a0b0"/>
    </w:rPr>
  </w:style>
  <w:style w:type="character" w:styleId="754" w:customStyle="1">
    <w:name w:val="AlertTok"/>
    <w:basedOn w:val="721"/>
    <w:pPr>
      <w:pBdr/>
      <w:spacing/>
      <w:ind/>
    </w:pPr>
    <w:rPr>
      <w:b/>
      <w:color w:val="ff0000"/>
    </w:rPr>
  </w:style>
  <w:style w:type="character" w:styleId="755" w:customStyle="1">
    <w:name w:val="ErrorTok"/>
    <w:basedOn w:val="721"/>
    <w:pPr>
      <w:pBdr/>
      <w:spacing/>
      <w:ind/>
    </w:pPr>
    <w:rPr>
      <w:b/>
      <w:color w:val="ff0000"/>
    </w:rPr>
  </w:style>
  <w:style w:type="character" w:styleId="756" w:customStyle="1">
    <w:name w:val="NormalTok"/>
    <w:basedOn w:val="721"/>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revision>1</cp:revision>
  <dcterms:created xsi:type="dcterms:W3CDTF">2026-06-17T12:45:18Z</dcterms:created>
  <dcterms:modified xsi:type="dcterms:W3CDTF">2026-06-17T12:58:29Z</dcterms:modified>
</cp:coreProperties>
</file>