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fdct-method-formulas"/>
      <w:r>
        <w:t xml:space="preserve">SFDCT — Method formulas</w:t>
      </w:r>
      <w:bookmarkEnd w:id="20"/>
    </w:p>
    <w:p>
      <w:pPr>
        <w:pStyle w:val="Heading2"/>
      </w:pPr>
      <w:bookmarkStart w:id="21" w:name="a.-block-dct-frequency-descriptor"/>
      <w:r>
        <w:t xml:space="preserve">A. Block-DCT frequency descriptor</w:t>
      </w:r>
      <w:bookmarkEnd w:id="21"/>
    </w:p>
    <w:p>
      <w:pPr>
        <w:pStyle w:val="FirstParagraph"/>
      </w:pPr>
      <w:r>
        <w:t xml:space="preserve">The frequency branch turns a face crop into a compact, localised, normalised descriptor. The crop is divided into non-overlapping</w:t>
      </w:r>
      <w:r>
        <w:t xml:space="preserve"> </w:t>
      </w:r>
      <m:oMath>
        <m:r>
          <m:t>8</m:t>
        </m:r>
        <m:r>
          <m:t>×</m:t>
        </m:r>
        <m:r>
          <m:t>8</m:t>
        </m:r>
      </m:oMath>
      <w:r>
        <w:t xml:space="preserve"> </w:t>
      </w:r>
      <w:r>
        <w:t xml:space="preserve">blocks and the 2-D DCT is applied to each block independently, so a forgery trace stays localised and aligned with the JPEG quantisation grid.</w:t>
      </w:r>
    </w:p>
    <w:p>
      <w:pPr>
        <w:pStyle w:val="BodyText"/>
      </w:pPr>
      <w:r>
        <w:rPr>
          <w:b/>
        </w:rPr>
        <w:t xml:space="preserve">Log-magnitude transform (Eq. 2.1).</w:t>
      </w:r>
      <w:r>
        <w:t xml:space="preserve"> </w:t>
      </w:r>
      <w:r>
        <w:t xml:space="preserve">Each coefficient is rescaled to compress the dynamic range while avoiding the logarithm of zero: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(</m:t>
          </m:r>
          <m:r>
            <m:t>u</m:t>
          </m:r>
          <m:r>
            <m:t>,</m:t>
          </m:r>
          <m:r>
            <m:t>v</m:t>
          </m:r>
          <m:r>
            <m:t>)</m:t>
          </m:r>
          <m:r>
            <m:t>=</m:t>
          </m:r>
          <m:r>
            <m:rPr>
              <m:nor/>
              <m:sty m:val="p"/>
            </m:rPr>
            <m:t>log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+</m:t>
              </m:r>
              <m:d>
                <m:dPr>
                  <m:begChr m:val="|"/>
                  <m:endChr m:val="|"/>
                  <m:grow/>
                </m:dPr>
                <m:e>
                  <m:r>
                    <m:t>F</m:t>
                  </m:r>
                  <m:r>
                    <m:t>(</m:t>
                  </m:r>
                  <m:r>
                    <m:t>u</m:t>
                  </m:r>
                  <m:r>
                    <m:t>,</m:t>
                  </m:r>
                  <m:r>
                    <m:t>v</m:t>
                  </m:r>
                  <m: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The DCT is taken on YCbCr rather than RGB, since most frequency traces sit in the brightness channel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while the chroma channels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carry complementary compression statistics.</w:t>
      </w:r>
    </w:p>
    <w:p>
      <w:pPr>
        <w:pStyle w:val="BodyText"/>
      </w:pPr>
      <w:r>
        <w:rPr>
          <w:b/>
        </w:rPr>
        <w:t xml:space="preserve">Band assignment (Eq. 2.2).</w:t>
      </w:r>
      <w:r>
        <w:t xml:space="preserve"> </w:t>
      </w:r>
      <w:r>
        <w:t xml:space="preserve">The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coefficients of each block are ordered by increasing frequency along a zigzag path and grouped into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bands. With the zigzag rank written as</w:t>
      </w:r>
      <w:r>
        <w:t xml:space="preserve"> </w:t>
      </w:r>
      <m:oMath>
        <m:r>
          <m:rPr>
            <m:nor/>
            <m:sty m:val="p"/>
          </m:rPr>
          <m:t>rank</m:t>
        </m:r>
      </m:oMath>
      <w:r>
        <w:t xml:space="preserve">, a coefficient is assigned to a band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band</m:t>
          </m:r>
          <m:r>
            <m:t>(</m:t>
          </m:r>
          <m:r>
            <m:rPr>
              <m:nor/>
              <m:sty m:val="p"/>
            </m:rPr>
            <m:t>rank</m:t>
          </m:r>
          <m:r>
            <m:t>)</m:t>
          </m:r>
          <m:r>
            <m:t>=</m:t>
          </m:r>
          <m:d>
            <m:dPr>
              <m:begChr m:val="⌊"/>
              <m:endChr m:val="⌋"/>
              <m:grow/>
            </m:dPr>
            <m:e>
              <m:r>
                <m:rPr>
                  <m:nor/>
                  <m:sty m:val="p"/>
                </m:rPr>
                <m:t>rank</m:t>
              </m:r>
              <m:r>
                <m:t>/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so four consecutive ranks fall into each band.</w:t>
      </w:r>
    </w:p>
    <w:p>
      <w:pPr>
        <w:pStyle w:val="BodyText"/>
      </w:pPr>
      <w:r>
        <w:rPr>
          <w:b/>
        </w:rPr>
        <w:t xml:space="preserve">Per-band feature (Eq. 2.3).</w:t>
      </w:r>
      <w:r>
        <w:t xml:space="preserve"> </w:t>
      </w:r>
      <w:r>
        <w:t xml:space="preserve">The feature for band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mean magnitude of its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b</m:t>
              </m:r>
              <m:r>
                <m:t>,</m:t>
              </m:r>
              <m:r>
                <m:t>c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(</m:t>
              </m:r>
              <m:r>
                <m:t>u</m:t>
              </m:r>
              <m:r>
                <m:t>,</m:t>
              </m:r>
              <m:r>
                <m:t>v</m:t>
              </m:r>
              <m:r>
                <m:t>)</m:t>
              </m:r>
              <m: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b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(</m:t>
                  </m:r>
                  <m:r>
                    <m:t>u</m:t>
                  </m:r>
                  <m:r>
                    <m:t>,</m:t>
                  </m:r>
                  <m:r>
                    <m:t>v</m:t>
                  </m:r>
                  <m: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set of coefficient positions in band</w:t>
      </w:r>
      <w:r>
        <w:t xml:space="preserve"> </w:t>
      </w:r>
      <m:oMath>
        <m:r>
          <m:t>b</m:t>
        </m:r>
      </m:oMath>
      <w:r>
        <w:t xml:space="preserve">. Stacking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bands across the three YCbCr channels yields a</w:t>
      </w:r>
      <w:r>
        <w:t xml:space="preserve"> </w:t>
      </w:r>
      <m:oMath>
        <m:r>
          <m:t>48</m:t>
        </m:r>
      </m:oMath>
      <w:r>
        <w:t xml:space="preserve">-dimensional descriptor (</w:t>
      </w:r>
      <m:oMath>
        <m:r>
          <m:t>16</m:t>
        </m:r>
        <m:r>
          <m:t>×</m:t>
        </m:r>
        <m:r>
          <m:t>3</m:t>
        </m:r>
        <m:r>
          <m:t>=</m:t>
        </m:r>
        <m:r>
          <m:t>48</m:t>
        </m:r>
      </m:oMath>
      <w:r>
        <w:t xml:space="preserve">).</w:t>
      </w:r>
    </w:p>
    <w:p>
      <w:pPr>
        <w:pStyle w:val="Heading2"/>
      </w:pPr>
      <w:bookmarkStart w:id="22" w:name="b.-gated-cross-attention-fusion"/>
      <w:r>
        <w:t xml:space="preserve">B. Gated cross-attention fusion</w:t>
      </w:r>
      <w:bookmarkEnd w:id="22"/>
    </w:p>
    <w:p>
      <w:pPr>
        <w:pStyle w:val="FirstParagraph"/>
      </w:pPr>
      <w:r>
        <w:t xml:space="preserve">The two streams are merged by cross-attention in which the spatial features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form the query and the frequency descriptor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forms the key and value. Each spatial position queries which frequency traces are relevant in its region and retrieves a weighted summary, so the fusion is selective in space rather than a flat concatenation.</w:t>
      </w:r>
    </w:p>
    <w:p>
      <w:pPr>
        <w:pStyle w:val="BodyText"/>
      </w:pPr>
      <w:r>
        <w:rPr>
          <w:b/>
        </w:rPr>
        <w:t xml:space="preserve">Projections.</w:t>
      </w:r>
      <w:r>
        <w:t xml:space="preserve"> </w:t>
      </w:r>
      <w:r>
        <w:t xml:space="preserve">The query, key, and value are linear projections: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,</m:t>
          </m:r>
          <m:r>
            <m:t>  </m:t>
          </m:r>
          <m:r>
            <m:t>K</m:t>
          </m:r>
          <m: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t>D</m:t>
          </m:r>
          <m:r>
            <m:t>,</m:t>
          </m:r>
          <m:r>
            <m:t>  </m:t>
          </m:r>
          <m:r>
            <m:t>V</m:t>
          </m:r>
          <m:r>
            <m:t>=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t>D</m:t>
          </m:r>
        </m:oMath>
      </m:oMathPara>
    </w:p>
    <w:p>
      <w:pPr>
        <w:pStyle w:val="FirstParagraph"/>
      </w:pPr>
      <w:r>
        <w:rPr>
          <w:b/>
        </w:rPr>
        <w:t xml:space="preserve">Attended context (Eq. 2.4).</w:t>
      </w:r>
      <w:r>
        <w:t xml:space="preserve"> </w:t>
      </w:r>
      <w:r>
        <w:t xml:space="preserve">The attended context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context</m:t>
          </m:r>
          <m: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key dimension and the</w:t>
      </w:r>
      <w: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t xml:space="preserve">factor keeps the softmax weights from saturating.</w:t>
      </w:r>
    </w:p>
    <w:p>
      <w:pPr>
        <w:pStyle w:val="BodyText"/>
      </w:pPr>
      <w:r>
        <w:rPr>
          <w:b/>
        </w:rPr>
        <w:t xml:space="preserve">Gated residual (Eq. 2.5).</w:t>
      </w:r>
      <w:r>
        <w:t xml:space="preserve"> </w:t>
      </w:r>
      <w:r>
        <w:t xml:space="preserve">The context enters the spatial stream through a gated residual connection whose scalar gate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initialised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fused</m:t>
              </m:r>
            </m:sub>
          </m:sSub>
          <m: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+</m:t>
          </m:r>
          <m:r>
            <m:t>α</m:t>
          </m:r>
          <m:r>
            <m:t>⋅</m:t>
          </m:r>
          <m:r>
            <m:rPr>
              <m:nor/>
              <m:sty m:val="p"/>
            </m:rPr>
            <m:t>context</m:t>
          </m:r>
          <m:r>
            <m:t>,</m:t>
          </m:r>
          <m:r>
            <m:t>  </m:t>
          </m:r>
          <m:r>
            <m:t>α</m:t>
          </m:r>
          <m:r>
            <m:rPr>
              <m:nor/>
              <m:sty m:val="p"/>
            </m:rPr>
            <m:t> initialised to </m:t>
          </m:r>
          <m:r>
            <m:t>0</m:t>
          </m:r>
        </m:oMath>
      </m:oMathPara>
    </w:p>
    <w:p>
      <w:pPr>
        <w:pStyle w:val="FirstParagraph"/>
      </w:pPr>
      <w:r>
        <w:t xml:space="preserve">At the first step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fused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the model is exactly the backbone, which realises the floor guarantee of the zero-initialised gate. The gate then behaves as a learned strength control: if the frequency context reduces the training loss the gradient opens the gate, and if it is noisy or useless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driven back towards zero. The learned value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therefore also a direct measurement of how much the frequency branch contributes.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2026-06-17T08:51:36Z</dcterms:created>
  <dcterms:modified xsi:type="dcterms:W3CDTF">2026-06-17T08:51:36Z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