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7.png" ContentType="image/png"/>
  <Override PartName="/word/media/rId39.png" ContentType="image/png"/>
  <Override PartName="/word/media/rId24.png" ContentType="image/png"/>
  <Override PartName="/word/media/rId26.png" ContentType="image/png"/>
  <Override PartName="/word/media/rId29.png" ContentType="image/png"/>
  <Override PartName="/word/media/rId3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SFDCT:</w:t>
      </w:r>
      <w:r>
        <w:t xml:space="preserve"> </w:t>
      </w:r>
      <w:r>
        <w:t xml:space="preserve">A</w:t>
      </w:r>
      <w:r>
        <w:t xml:space="preserve"> </w:t>
      </w:r>
      <w:r>
        <w:t xml:space="preserve">Floor-Preserving</w:t>
      </w:r>
      <w:r>
        <w:t xml:space="preserve"> </w:t>
      </w:r>
      <w:r>
        <w:t xml:space="preserve">Spatial–Frequency</w:t>
      </w:r>
      <w:r>
        <w:t xml:space="preserve"> </w:t>
      </w:r>
      <w:r>
        <w:t xml:space="preserve">Fusion</w:t>
      </w:r>
      <w:r>
        <w:t xml:space="preserve"> </w:t>
      </w:r>
      <w:r>
        <w:t xml:space="preserve">for</w:t>
      </w:r>
      <w:r>
        <w:br/>
      </w:r>
      <w:r>
        <w:t xml:space="preserve">Cross-Dataset</w:t>
      </w:r>
      <w:r>
        <w:t xml:space="preserve"> </w:t>
      </w:r>
      <w:r>
        <w:t xml:space="preserve">Deepfake</w:t>
      </w:r>
      <w:r>
        <w:t xml:space="preserve"> </w:t>
      </w:r>
      <w:r>
        <w:t xml:space="preserve">Detection</w:t>
      </w:r>
      <w:r>
        <w:t xml:space="preserve"> </w:t>
      </w:r>
      <w:r>
        <w:t xml:space="preserve">under</w:t>
      </w:r>
      <w:r>
        <w:t xml:space="preserve"> </w:t>
      </w:r>
      <w:r>
        <w:t xml:space="preserve">eKYC</w:t>
      </w:r>
      <w:r>
        <w:t xml:space="preserve"> </w:t>
      </w:r>
      <w:r>
        <w:t xml:space="preserve">Operating</w:t>
      </w:r>
      <w:r>
        <w:t xml:space="preserve"> </w:t>
      </w:r>
      <w:r>
        <w:t xml:space="preserve">Points</w:t>
      </w:r>
    </w:p>
    <w:p>
      <w:pPr>
        <w:pStyle w:val="Abstract"/>
      </w:pPr>
      <w:r>
        <w:t xml:space="preserve">Deepfake</w:t>
      </w:r>
      <w:r>
        <w:t xml:space="preserve"> </w:t>
      </w:r>
      <w:r>
        <w:t xml:space="preserve">face</w:t>
      </w:r>
      <w:r>
        <w:t xml:space="preserve"> </w:t>
      </w:r>
      <w:r>
        <w:t xml:space="preserve">forgery</w:t>
      </w:r>
      <w:r>
        <w:t xml:space="preserve"> </w:t>
      </w:r>
      <w:r>
        <w:t xml:space="preserve">threatens</w:t>
      </w:r>
      <w:r>
        <w:t xml:space="preserve"> </w:t>
      </w:r>
      <w:r>
        <w:t xml:space="preserve">electronic</w:t>
      </w:r>
      <w:r>
        <w:t xml:space="preserve"> </w:t>
      </w:r>
      <w:r>
        <w:t xml:space="preserve">Know-Your-Customer</w:t>
      </w:r>
      <w:r>
        <w:t xml:space="preserve"> </w:t>
      </w:r>
      <w:r>
        <w:t xml:space="preserve">(eKYC)</w:t>
      </w:r>
      <w:r>
        <w:t xml:space="preserve"> </w:t>
      </w:r>
      <w:r>
        <w:t xml:space="preserve">pipelines</w:t>
      </w:r>
      <w:r>
        <w:t xml:space="preserve"> </w:t>
      </w:r>
      <w:r>
        <w:t xml:space="preserve">in</w:t>
      </w:r>
      <w:r>
        <w:t xml:space="preserve"> </w:t>
      </w:r>
      <w:r>
        <w:t xml:space="preserve">banking,</w:t>
      </w:r>
      <w:r>
        <w:t xml:space="preserve"> </w:t>
      </w:r>
      <w:r>
        <w:t xml:space="preserve">where</w:t>
      </w:r>
      <w:r>
        <w:t xml:space="preserve"> </w:t>
      </w:r>
      <w:r>
        <w:t xml:space="preserve">detectors</w:t>
      </w:r>
      <w:r>
        <w:t xml:space="preserve"> </w:t>
      </w:r>
      <w:r>
        <w:t xml:space="preserve">trained</w:t>
      </w:r>
      <w:r>
        <w:t xml:space="preserve"> </w:t>
      </w:r>
      <w:r>
        <w:t xml:space="preserve">on</w:t>
      </w:r>
      <w:r>
        <w:t xml:space="preserve"> </w:t>
      </w:r>
      <w:r>
        <w:t xml:space="preserve">one</w:t>
      </w:r>
      <w:r>
        <w:t xml:space="preserve"> </w:t>
      </w:r>
      <w:r>
        <w:t xml:space="preserve">corpus</w:t>
      </w:r>
      <w:r>
        <w:t xml:space="preserve"> </w:t>
      </w:r>
      <w:r>
        <w:t xml:space="preserve">often</w:t>
      </w:r>
      <w:r>
        <w:t xml:space="preserve"> </w:t>
      </w:r>
      <w:r>
        <w:t xml:space="preserve">degrade</w:t>
      </w:r>
      <w:r>
        <w:t xml:space="preserve"> </w:t>
      </w:r>
      <w:r>
        <w:t xml:space="preserve">sharply</w:t>
      </w:r>
      <w:r>
        <w:t xml:space="preserve"> </w:t>
      </w:r>
      <w:r>
        <w:t xml:space="preserve">on</w:t>
      </w:r>
      <w:r>
        <w:t xml:space="preserve"> </w:t>
      </w:r>
      <w:r>
        <w:t xml:space="preserve">unseen</w:t>
      </w:r>
      <w:r>
        <w:t xml:space="preserve"> </w:t>
      </w:r>
      <w:r>
        <w:t xml:space="preserve">manipulations.</w:t>
      </w:r>
      <w:r>
        <w:t xml:space="preserve"> </w:t>
      </w:r>
      <w:r>
        <w:t xml:space="preserve">We</w:t>
      </w:r>
      <w:r>
        <w:t xml:space="preserve"> </w:t>
      </w:r>
      <w:r>
        <w:t xml:space="preserve">present</w:t>
      </w:r>
      <w:r>
        <w:t xml:space="preserve"> </w:t>
      </w:r>
      <w:r>
        <w:rPr>
          <w:b/>
        </w:rPr>
        <w:t xml:space="preserve">SFDCT</w:t>
      </w:r>
      <w:r>
        <w:t xml:space="preserve">,</w:t>
      </w:r>
      <w:r>
        <w:t xml:space="preserve"> </w:t>
      </w:r>
      <w:r>
        <w:t xml:space="preserve">a</w:t>
      </w:r>
      <w:r>
        <w:t xml:space="preserve"> </w:t>
      </w:r>
      <w:r>
        <w:t xml:space="preserve">hybrid</w:t>
      </w:r>
      <w:r>
        <w:t xml:space="preserve"> </w:t>
      </w:r>
      <w:r>
        <w:t xml:space="preserve">spatial–frequency</w:t>
      </w:r>
      <w:r>
        <w:t xml:space="preserve"> </w:t>
      </w:r>
      <w:r>
        <w:t xml:space="preserve">detector</w:t>
      </w:r>
      <w:r>
        <w:t xml:space="preserve"> </w:t>
      </w:r>
      <w:r>
        <w:t xml:space="preserve">that</w:t>
      </w:r>
      <w:r>
        <w:t xml:space="preserve"> </w:t>
      </w:r>
      <w:r>
        <w:t xml:space="preserve">augments</w:t>
      </w:r>
      <w:r>
        <w:t xml:space="preserve"> </w:t>
      </w:r>
      <w:r>
        <w:t xml:space="preserve">an</w:t>
      </w:r>
      <w:r>
        <w:t xml:space="preserve"> </w:t>
      </w:r>
      <w:r>
        <w:t xml:space="preserve">EfficientNet-B4</w:t>
      </w:r>
      <w:r>
        <w:t xml:space="preserve"> </w:t>
      </w:r>
      <w:r>
        <w:t xml:space="preserve">backbone</w:t>
      </w:r>
      <w:r>
        <w:t xml:space="preserve"> </w:t>
      </w:r>
      <w:r>
        <w:t xml:space="preserve">with</w:t>
      </w:r>
      <w:r>
        <w:t xml:space="preserve"> </w:t>
      </w:r>
      <w:r>
        <w:t xml:space="preserve">a</w:t>
      </w:r>
      <w:r>
        <w:t xml:space="preserve"> </w:t>
      </w:r>
      <w:r>
        <w:t xml:space="preserve">block-wise</w:t>
      </w:r>
      <w:r>
        <w:t xml:space="preserve"> </w:t>
      </w:r>
      <m:oMath>
        <m:r>
          <m:t>8</m:t>
        </m:r>
        <m:r>
          <m:t>×</m:t>
        </m:r>
        <m:r>
          <m:t>8</m:t>
        </m:r>
      </m:oMath>
      <w:r>
        <w:t xml:space="preserve"> </w:t>
      </w:r>
      <w:r>
        <w:t xml:space="preserve">DCT</w:t>
      </w:r>
      <w:r>
        <w:t xml:space="preserve"> </w:t>
      </w:r>
      <w:r>
        <w:t xml:space="preserve">branch</w:t>
      </w:r>
      <w:r>
        <w:t xml:space="preserve"> </w:t>
      </w:r>
      <w:r>
        <w:t xml:space="preserve">and</w:t>
      </w:r>
      <w:r>
        <w:t xml:space="preserve"> </w:t>
      </w:r>
      <w:r>
        <w:t xml:space="preserve">fuses</w:t>
      </w:r>
      <w:r>
        <w:t xml:space="preserve"> </w:t>
      </w:r>
      <w:r>
        <w:t xml:space="preserve">the</w:t>
      </w:r>
      <w:r>
        <w:t xml:space="preserve"> </w:t>
      </w:r>
      <w:r>
        <w:t xml:space="preserve">two</w:t>
      </w:r>
      <w:r>
        <w:t xml:space="preserve"> </w:t>
      </w:r>
      <w:r>
        <w:t xml:space="preserve">streams</w:t>
      </w:r>
      <w:r>
        <w:t xml:space="preserve"> </w:t>
      </w:r>
      <w:r>
        <w:t xml:space="preserve">through</w:t>
      </w:r>
      <w:r>
        <w:t xml:space="preserve"> </w:t>
      </w:r>
      <w:r>
        <w:t xml:space="preserve">a</w:t>
      </w:r>
      <w:r>
        <w:t xml:space="preserve"> </w:t>
      </w:r>
      <w:r>
        <w:rPr>
          <w:i/>
        </w:rPr>
        <w:t xml:space="preserve">zero-initialized</w:t>
      </w:r>
      <w:r>
        <w:t xml:space="preserve"> </w:t>
      </w:r>
      <w:r>
        <w:t xml:space="preserve">gated</w:t>
      </w:r>
      <w:r>
        <w:t xml:space="preserve"> </w:t>
      </w:r>
      <w:r>
        <w:t xml:space="preserve">cross-attention.</w:t>
      </w:r>
      <w:r>
        <w:t xml:space="preserve"> </w:t>
      </w:r>
      <w:r>
        <w:t xml:space="preserve">The</w:t>
      </w:r>
      <w:r>
        <w:t xml:space="preserve"> </w:t>
      </w:r>
      <w:r>
        <w:t xml:space="preserve">zero-init</w:t>
      </w:r>
      <w:r>
        <w:t xml:space="preserve"> </w:t>
      </w:r>
      <w:r>
        <w:t xml:space="preserve">gate</w:t>
      </w:r>
      <w:r>
        <w:t xml:space="preserve"> </w:t>
      </w:r>
      <w:r>
        <w:t xml:space="preserve">makes</w:t>
      </w:r>
      <w:r>
        <w:t xml:space="preserve"> </w:t>
      </w:r>
      <w:r>
        <w:t xml:space="preserve">the</w:t>
      </w:r>
      <w:r>
        <w:t xml:space="preserve"> </w:t>
      </w:r>
      <w:r>
        <w:t xml:space="preserve">model</w:t>
      </w:r>
      <w:r>
        <w:t xml:space="preserve"> </w:t>
      </w:r>
      <w:r>
        <w:t xml:space="preserve">at</w:t>
      </w:r>
      <w:r>
        <w:t xml:space="preserve"> </w:t>
      </w:r>
      <w:r>
        <w:t xml:space="preserve">initialization</w:t>
      </w:r>
      <w:r>
        <w:t xml:space="preserve"> </w:t>
      </w:r>
      <w:r>
        <w:rPr>
          <w:i/>
        </w:rPr>
        <w:t xml:space="preserve">mathematically</w:t>
      </w:r>
      <w:r>
        <w:rPr>
          <w:i/>
        </w:rPr>
        <w:t xml:space="preserve"> </w:t>
      </w:r>
      <w:r>
        <w:rPr>
          <w:i/>
        </w:rPr>
        <w:t xml:space="preserve">identical</w:t>
      </w:r>
      <w:r>
        <w:t xml:space="preserve"> </w:t>
      </w:r>
      <w:r>
        <w:t xml:space="preserve">to</w:t>
      </w:r>
      <w:r>
        <w:t xml:space="preserve"> </w:t>
      </w:r>
      <w:r>
        <w:t xml:space="preserve">the</w:t>
      </w:r>
      <w:r>
        <w:t xml:space="preserve"> </w:t>
      </w:r>
      <w:r>
        <w:t xml:space="preserve">calibrated</w:t>
      </w:r>
      <w:r>
        <w:t xml:space="preserve"> </w:t>
      </w:r>
      <w:r>
        <w:t xml:space="preserve">backbone,</w:t>
      </w:r>
      <w:r>
        <w:t xml:space="preserve"> </w:t>
      </w:r>
      <w:r>
        <w:t xml:space="preserve">giving</w:t>
      </w:r>
      <w:r>
        <w:t xml:space="preserve"> </w:t>
      </w:r>
      <w:r>
        <w:t xml:space="preserve">a</w:t>
      </w:r>
      <w:r>
        <w:t xml:space="preserve"> </w:t>
      </w:r>
      <w:r>
        <w:rPr>
          <w:i/>
        </w:rPr>
        <w:t xml:space="preserve">floor-preserving</w:t>
      </w:r>
      <w:r>
        <w:t xml:space="preserve"> </w:t>
      </w:r>
      <w:r>
        <w:t xml:space="preserve">guarantee</w:t>
      </w:r>
      <w:r>
        <w:t xml:space="preserve"> </w:t>
      </w:r>
      <w:r>
        <w:t xml:space="preserve">(never</w:t>
      </w:r>
      <w:r>
        <w:t xml:space="preserve"> </w:t>
      </w:r>
      <w:r>
        <w:t xml:space="preserve">worse</w:t>
      </w:r>
      <w:r>
        <w:t xml:space="preserve"> </w:t>
      </w:r>
      <w:r>
        <w:t xml:space="preserve">than</w:t>
      </w:r>
      <w:r>
        <w:t xml:space="preserve"> </w:t>
      </w:r>
      <w:r>
        <w:t xml:space="preserve">B4</w:t>
      </w:r>
      <w:r>
        <w:t xml:space="preserve"> </w:t>
      </w:r>
      <w:r>
        <w:t xml:space="preserve">at</w:t>
      </w:r>
      <w:r>
        <w:t xml:space="preserve"> </w:t>
      </w:r>
      <w:r>
        <w:t xml:space="preserve">init)</w:t>
      </w:r>
      <w:r>
        <w:t xml:space="preserve"> </w:t>
      </w:r>
      <w:r>
        <w:t xml:space="preserve">that</w:t>
      </w:r>
      <w:r>
        <w:t xml:space="preserve"> </w:t>
      </w:r>
      <w:r>
        <w:t xml:space="preserve">is</w:t>
      </w:r>
      <w:r>
        <w:t xml:space="preserve"> </w:t>
      </w:r>
      <w:r>
        <w:t xml:space="preserve">directly</w:t>
      </w:r>
      <w:r>
        <w:t xml:space="preserve"> </w:t>
      </w:r>
      <w:r>
        <w:t xml:space="preserve">valuable</w:t>
      </w:r>
      <w:r>
        <w:t xml:space="preserve"> </w:t>
      </w:r>
      <w:r>
        <w:t xml:space="preserve">for</w:t>
      </w:r>
      <w:r>
        <w:t xml:space="preserve"> </w:t>
      </w:r>
      <w:r>
        <w:t xml:space="preserve">eKYC,</w:t>
      </w:r>
      <w:r>
        <w:t xml:space="preserve"> </w:t>
      </w:r>
      <w:r>
        <w:t xml:space="preserve">where</w:t>
      </w:r>
      <w:r>
        <w:t xml:space="preserve"> </w:t>
      </w:r>
      <w:r>
        <w:t xml:space="preserve">the</w:t>
      </w:r>
      <w:r>
        <w:t xml:space="preserve"> </w:t>
      </w:r>
      <w:r>
        <w:t xml:space="preserve">operating</w:t>
      </w:r>
      <w:r>
        <w:t xml:space="preserve"> </w:t>
      </w:r>
      <w:r>
        <w:t xml:space="preserve">threshold</w:t>
      </w:r>
      <w:r>
        <w:t xml:space="preserve"> </w:t>
      </w:r>
      <w:r>
        <w:t xml:space="preserve">is</w:t>
      </w:r>
      <w:r>
        <w:t xml:space="preserve"> </w:t>
      </w:r>
      <w:r>
        <w:t xml:space="preserve">calibrated</w:t>
      </w:r>
      <w:r>
        <w:t xml:space="preserve"> </w:t>
      </w:r>
      <w:r>
        <w:t xml:space="preserve">on</w:t>
      </w:r>
      <w:r>
        <w:t xml:space="preserve"> </w:t>
      </w:r>
      <w:r>
        <w:t xml:space="preserve">the</w:t>
      </w:r>
      <w:r>
        <w:t xml:space="preserve"> </w:t>
      </w:r>
      <w:r>
        <w:t xml:space="preserve">baseline</w:t>
      </w:r>
      <w:r>
        <w:t xml:space="preserve"> </w:t>
      </w:r>
      <w:r>
        <w:t xml:space="preserve">and</w:t>
      </w:r>
      <w:r>
        <w:t xml:space="preserve"> </w:t>
      </w:r>
      <w:r>
        <w:t xml:space="preserve">must</w:t>
      </w:r>
      <w:r>
        <w:t xml:space="preserve"> </w:t>
      </w:r>
      <w:r>
        <w:t xml:space="preserve">not</w:t>
      </w:r>
      <w:r>
        <w:t xml:space="preserve"> </w:t>
      </w:r>
      <w:r>
        <w:t xml:space="preserve">regress.</w:t>
      </w:r>
      <w:r>
        <w:t xml:space="preserve"> </w:t>
      </w:r>
      <w:r>
        <w:t xml:space="preserve">We</w:t>
      </w:r>
      <w:r>
        <w:t xml:space="preserve"> </w:t>
      </w:r>
      <w:r>
        <w:t xml:space="preserve">deliberately</w:t>
      </w:r>
      <w:r>
        <w:t xml:space="preserve"> </w:t>
      </w:r>
      <w:r>
        <w:rPr>
          <w:b/>
        </w:rPr>
        <w:t xml:space="preserve">do</w:t>
      </w:r>
      <w:r>
        <w:rPr>
          <w:b/>
        </w:rPr>
        <w:t xml:space="preserve"> </w:t>
      </w:r>
      <w:r>
        <w:rPr>
          <w:b/>
        </w:rPr>
        <w:t xml:space="preserve">not</w:t>
      </w:r>
      <w:r>
        <w:rPr>
          <w:b/>
        </w:rPr>
        <w:t xml:space="preserve"> </w:t>
      </w:r>
      <w:r>
        <w:rPr>
          <w:b/>
        </w:rPr>
        <w:t xml:space="preserve">claim</w:t>
      </w:r>
      <w:r>
        <w:rPr>
          <w:b/>
        </w:rPr>
        <w:t xml:space="preserve"> </w:t>
      </w:r>
      <w:r>
        <w:rPr>
          <w:b/>
        </w:rPr>
        <w:t xml:space="preserve">state-of-the-art</w:t>
      </w:r>
      <w:r>
        <w:rPr>
          <w:b/>
        </w:rPr>
        <w:t xml:space="preserve"> </w:t>
      </w:r>
      <w:r>
        <w:rPr>
          <w:b/>
        </w:rPr>
        <w:t xml:space="preserve">AUC</w:t>
      </w:r>
      <w:r>
        <w:t xml:space="preserve">:</w:t>
      </w:r>
      <w:r>
        <w:t xml:space="preserve"> </w:t>
      </w:r>
      <w:r>
        <w:t xml:space="preserve">under</w:t>
      </w:r>
      <w:r>
        <w:t xml:space="preserve"> </w:t>
      </w:r>
      <w:r>
        <w:t xml:space="preserve">the</w:t>
      </w:r>
      <w:r>
        <w:t xml:space="preserve"> </w:t>
      </w:r>
      <w:r>
        <w:t xml:space="preserve">standardized</w:t>
      </w:r>
      <w:r>
        <w:t xml:space="preserve"> </w:t>
      </w:r>
      <w:r>
        <w:t xml:space="preserve">DeepfakeBench</w:t>
      </w:r>
      <w:r>
        <w:t xml:space="preserve"> </w:t>
      </w:r>
      <w:r>
        <w:t xml:space="preserve">cross-dataset</w:t>
      </w:r>
      <w:r>
        <w:t xml:space="preserve"> </w:t>
      </w:r>
      <w:r>
        <w:t xml:space="preserve">protocol</w:t>
      </w:r>
      <w:r>
        <w:t xml:space="preserve"> </w:t>
      </w:r>
      <w:r>
        <w:t xml:space="preserve">(train</w:t>
      </w:r>
      <w:r>
        <w:t xml:space="preserve"> </w:t>
      </w:r>
      <w:r>
        <w:t xml:space="preserve">FaceForensics++</w:t>
      </w:r>
      <w:r>
        <w:t xml:space="preserve"> </w:t>
      </w:r>
      <w:r>
        <w:t xml:space="preserve">c23,</w:t>
      </w:r>
      <w:r>
        <w:t xml:space="preserve"> </w:t>
      </w:r>
      <w:r>
        <w:t xml:space="preserve">test</w:t>
      </w:r>
      <w:r>
        <w:t xml:space="preserve"> </w:t>
      </w:r>
      <w:r>
        <w:t xml:space="preserve">Celeb-DF-v2),</w:t>
      </w:r>
      <w:r>
        <w:t xml:space="preserve"> </w:t>
      </w:r>
      <w:r>
        <w:t xml:space="preserve">SFDCT</w:t>
      </w:r>
      <w:r>
        <w:t xml:space="preserve"> </w:t>
      </w:r>
      <w:r>
        <w:t xml:space="preserve">reaches</w:t>
      </w:r>
      <w:r>
        <w:t xml:space="preserve"> </w:t>
      </w:r>
      <w:r>
        <w:rPr>
          <w:b/>
        </w:rPr>
        <w:t xml:space="preserve">0.7572</w:t>
      </w:r>
      <w:r>
        <w:t xml:space="preserve"> </w:t>
      </w:r>
      <w:r>
        <w:t xml:space="preserve">frame-AUC</w:t>
      </w:r>
      <w:r>
        <w:t xml:space="preserve"> </w:t>
      </w:r>
      <w:r>
        <w:t xml:space="preserve">versus</w:t>
      </w:r>
      <w:r>
        <w:t xml:space="preserve"> </w:t>
      </w:r>
      <w:r>
        <w:rPr>
          <w:b/>
        </w:rPr>
        <w:t xml:space="preserve">0.7497</w:t>
      </w:r>
      <w:r>
        <w:t xml:space="preserve"> </w:t>
      </w:r>
      <w:r>
        <w:t xml:space="preserve">for</w:t>
      </w:r>
      <w:r>
        <w:t xml:space="preserve"> </w:t>
      </w:r>
      <w:r>
        <w:t xml:space="preserve">B4</w:t>
      </w:r>
      <w:r>
        <w:t xml:space="preserve"> </w:t>
      </w:r>
      <w:r>
        <w:t xml:space="preserve">(</w:t>
      </w:r>
      <m:oMath>
        <m:r>
          <m:t>Δ</m:t>
        </m:r>
        <m:r>
          <m:t>=</m:t>
        </m:r>
        <m:r>
          <m:t>+</m:t>
        </m:r>
        <m:r>
          <m:t>0.0075</m:t>
        </m:r>
      </m:oMath>
      <w:r>
        <w:t xml:space="preserve">),</w:t>
      </w:r>
      <w:r>
        <w:t xml:space="preserve"> </w:t>
      </w:r>
      <w:r>
        <w:t xml:space="preserve">a</w:t>
      </w:r>
      <w:r>
        <w:t xml:space="preserve"> </w:t>
      </w:r>
      <w:r>
        <w:t xml:space="preserve">gain</w:t>
      </w:r>
      <w:r>
        <w:t xml:space="preserve"> </w:t>
      </w:r>
      <w:r>
        <w:t xml:space="preserve">that</w:t>
      </w:r>
      <w:r>
        <w:t xml:space="preserve"> </w:t>
      </w:r>
      <w:r>
        <w:t xml:space="preserve">a</w:t>
      </w:r>
      <w:r>
        <w:t xml:space="preserve"> </w:t>
      </w:r>
      <w:r>
        <w:t xml:space="preserve">bootstrap</w:t>
      </w:r>
      <w:r>
        <w:t xml:space="preserve"> </w:t>
      </w:r>
      <w:r>
        <w:t xml:space="preserve">confidence</w:t>
      </w:r>
      <w:r>
        <w:t xml:space="preserve"> </w:t>
      </w:r>
      <w:r>
        <w:t xml:space="preserve">interval</w:t>
      </w:r>
      <w:r>
        <w:t xml:space="preserve"> </w:t>
      </w:r>
      <w:r>
        <w:t xml:space="preserve">shows</w:t>
      </w:r>
      <w:r>
        <w:t xml:space="preserve"> </w:t>
      </w:r>
      <w:r>
        <w:t xml:space="preserve">lies</w:t>
      </w:r>
      <w:r>
        <w:t xml:space="preserve"> </w:t>
      </w:r>
      <w:r>
        <w:rPr>
          <w:i/>
        </w:rPr>
        <w:t xml:space="preserve">within</w:t>
      </w:r>
      <w:r>
        <w:rPr>
          <w:i/>
        </w:rPr>
        <w:t xml:space="preserve"> </w:t>
      </w:r>
      <w:r>
        <w:rPr>
          <w:i/>
        </w:rPr>
        <w:t xml:space="preserve">noise</w:t>
      </w:r>
      <w:r>
        <w:t xml:space="preserve">.</w:t>
      </w:r>
      <w:r>
        <w:t xml:space="preserve"> </w:t>
      </w:r>
      <w:r>
        <w:t xml:space="preserve">Our</w:t>
      </w:r>
      <w:r>
        <w:t xml:space="preserve"> </w:t>
      </w:r>
      <w:r>
        <w:t xml:space="preserve">contributions</w:t>
      </w:r>
      <w:r>
        <w:t xml:space="preserve"> </w:t>
      </w:r>
      <w:r>
        <w:t xml:space="preserve">are</w:t>
      </w:r>
      <w:r>
        <w:t xml:space="preserve"> </w:t>
      </w:r>
      <w:r>
        <w:t xml:space="preserve">therefore</w:t>
      </w:r>
      <w:r>
        <w:t xml:space="preserve"> </w:t>
      </w:r>
      <w:r>
        <w:t xml:space="preserve">framed</w:t>
      </w:r>
      <w:r>
        <w:t xml:space="preserve"> </w:t>
      </w:r>
      <w:r>
        <w:t xml:space="preserve">honestly</w:t>
      </w:r>
      <w:r>
        <w:t xml:space="preserve"> </w:t>
      </w:r>
      <w:r>
        <w:t xml:space="preserve">as</w:t>
      </w:r>
      <w:r>
        <w:t xml:space="preserve"> </w:t>
      </w:r>
      <w:r>
        <w:t xml:space="preserve">(i)</w:t>
      </w:r>
      <w:r>
        <w:t xml:space="preserve"> </w:t>
      </w:r>
      <w:r>
        <w:t xml:space="preserve">a</w:t>
      </w:r>
      <w:r>
        <w:t xml:space="preserve"> </w:t>
      </w:r>
      <w:r>
        <w:t xml:space="preserve">floor-preserving</w:t>
      </w:r>
      <w:r>
        <w:t xml:space="preserve"> </w:t>
      </w:r>
      <w:r>
        <w:t xml:space="preserve">fusion</w:t>
      </w:r>
      <w:r>
        <w:t xml:space="preserve"> </w:t>
      </w:r>
      <w:r>
        <w:t xml:space="preserve">mechanism,</w:t>
      </w:r>
      <w:r>
        <w:t xml:space="preserve"> </w:t>
      </w:r>
      <w:r>
        <w:t xml:space="preserve">(ii)</w:t>
      </w:r>
      <w:r>
        <w:t xml:space="preserve"> </w:t>
      </w:r>
      <w:r>
        <w:t xml:space="preserve">a</w:t>
      </w:r>
      <w:r>
        <w:t xml:space="preserve"> </w:t>
      </w:r>
      <w:r>
        <w:t xml:space="preserve">regulation-aware</w:t>
      </w:r>
      <w:r>
        <w:t xml:space="preserve"> </w:t>
      </w:r>
      <w:r>
        <w:t xml:space="preserve">eKYC</w:t>
      </w:r>
      <w:r>
        <w:t xml:space="preserve"> </w:t>
      </w:r>
      <w:r>
        <w:t xml:space="preserve">operating-point</w:t>
      </w:r>
      <w:r>
        <w:t xml:space="preserve"> </w:t>
      </w:r>
      <w:r>
        <w:t xml:space="preserve">evaluation</w:t>
      </w:r>
      <w:r>
        <w:t xml:space="preserve"> </w:t>
      </w:r>
      <w:r>
        <w:t xml:space="preserve">that</w:t>
      </w:r>
      <w:r>
        <w:t xml:space="preserve"> </w:t>
      </w:r>
      <w:r>
        <w:t xml:space="preserve">decomposes</w:t>
      </w:r>
      <w:r>
        <w:t xml:space="preserve"> </w:t>
      </w:r>
      <w:r>
        <w:t xml:space="preserve">errors</w:t>
      </w:r>
      <w:r>
        <w:t xml:space="preserve"> </w:t>
      </w:r>
      <w:r>
        <w:t xml:space="preserve">via</w:t>
      </w:r>
      <w:r>
        <w:t xml:space="preserve"> </w:t>
      </w:r>
      <w:r>
        <w:t xml:space="preserve">the</w:t>
      </w:r>
      <w:r>
        <w:t xml:space="preserve"> </w:t>
      </w:r>
      <w:r>
        <w:t xml:space="preserve">ISO/IEC 30107-3</w:t>
      </w:r>
      <w:r>
        <w:t xml:space="preserve"> </w:t>
      </w:r>
      <w:r>
        <w:t xml:space="preserve">taxonomy,</w:t>
      </w:r>
      <w:r>
        <w:t xml:space="preserve"> </w:t>
      </w:r>
      <w:r>
        <w:t xml:space="preserve">and</w:t>
      </w:r>
      <w:r>
        <w:t xml:space="preserve"> </w:t>
      </w:r>
      <w:r>
        <w:t xml:space="preserve">(iii)</w:t>
      </w:r>
      <w:r>
        <w:t xml:space="preserve"> </w:t>
      </w:r>
      <w:r>
        <w:t xml:space="preserve">a</w:t>
      </w:r>
      <w:r>
        <w:t xml:space="preserve"> </w:t>
      </w:r>
      <w:r>
        <w:t xml:space="preserve">small</w:t>
      </w:r>
      <w:r>
        <w:t xml:space="preserve"> </w:t>
      </w:r>
      <w:r>
        <w:t xml:space="preserve">Vietnamese-face</w:t>
      </w:r>
      <w:r>
        <w:t xml:space="preserve"> </w:t>
      </w:r>
      <w:r>
        <w:t xml:space="preserve">deepfake</w:t>
      </w:r>
      <w:r>
        <w:t xml:space="preserve"> </w:t>
      </w:r>
      <w:r>
        <w:rPr>
          <w:i/>
        </w:rPr>
        <w:t xml:space="preserve">test-only</w:t>
      </w:r>
      <w:r>
        <w:t xml:space="preserve"> </w:t>
      </w:r>
      <w:r>
        <w:t xml:space="preserve">resource.</w:t>
      </w:r>
      <w:r>
        <w:t xml:space="preserve"> </w:t>
      </w:r>
      <w:r>
        <w:t xml:space="preserve">We</w:t>
      </w:r>
      <w:r>
        <w:t xml:space="preserve"> </w:t>
      </w:r>
      <w:r>
        <w:t xml:space="preserve">report</w:t>
      </w:r>
      <w:r>
        <w:t xml:space="preserve"> </w:t>
      </w:r>
      <w:r>
        <w:t xml:space="preserve">all</w:t>
      </w:r>
      <w:r>
        <w:t xml:space="preserve"> </w:t>
      </w:r>
      <w:r>
        <w:t xml:space="preserve">numbers</w:t>
      </w:r>
      <w:r>
        <w:t xml:space="preserve"> </w:t>
      </w:r>
      <w:r>
        <w:t xml:space="preserve">from</w:t>
      </w:r>
      <w:r>
        <w:t xml:space="preserve"> </w:t>
      </w:r>
      <w:r>
        <w:t xml:space="preserve">a</w:t>
      </w:r>
      <w:r>
        <w:t xml:space="preserve"> </w:t>
      </w:r>
      <w:r>
        <w:t xml:space="preserve">single</w:t>
      </w:r>
      <w:r>
        <w:t xml:space="preserve"> </w:t>
      </w:r>
      <w:r>
        <w:t xml:space="preserve">seed</w:t>
      </w:r>
      <w:r>
        <w:t xml:space="preserve"> </w:t>
      </w:r>
      <w:r>
        <w:t xml:space="preserve">and</w:t>
      </w:r>
      <w:r>
        <w:t xml:space="preserve"> </w:t>
      </w:r>
      <w:r>
        <w:t xml:space="preserve">openly</w:t>
      </w:r>
      <w:r>
        <w:t xml:space="preserve"> </w:t>
      </w:r>
      <w:r>
        <w:t xml:space="preserve">discuss</w:t>
      </w:r>
      <w:r>
        <w:t xml:space="preserve"> </w:t>
      </w:r>
      <w:r>
        <w:t xml:space="preserve">the</w:t>
      </w:r>
      <w:r>
        <w:t xml:space="preserve"> </w:t>
      </w:r>
      <w:r>
        <w:t xml:space="preserve">limitations.</w:t>
      </w:r>
    </w:p>
    <w:p>
      <w:pPr>
        <w:pStyle w:val="FirstParagraph"/>
      </w:pPr>
      <w:r>
        <w:t xml:space="preserve">deepfake detection, eKYC, block-wise DCT, spatial–frequency fusion, cross-dataset generalization</w:t>
      </w:r>
    </w:p>
    <w:p>
      <w:pPr>
        <w:pStyle w:val="Heading1"/>
      </w:pPr>
      <w:bookmarkStart w:id="20" w:name="introduction"/>
      <w:r>
        <w:t xml:space="preserve">Introduction</w:t>
      </w:r>
      <w:bookmarkEnd w:id="20"/>
    </w:p>
    <w:p>
      <w:pPr>
        <w:pStyle w:val="FirstParagraph"/>
      </w:pPr>
      <w:r>
        <w:t xml:space="preserve">Electronic Know-Your-Customer (eKYC) lets customers open accounts and authorize transactions</w:t>
      </w:r>
      <w:r>
        <w:t xml:space="preserve"> </w:t>
      </w:r>
      <w:r>
        <w:t xml:space="preserve">remotely from a selfie. This convenience opens an attack surface: low-cost</w:t>
      </w:r>
      <w:r>
        <w:t xml:space="preserve"> </w:t>
      </w:r>
      <w:r>
        <w:rPr>
          <w:i/>
        </w:rPr>
        <w:t xml:space="preserve">deepfakes</w:t>
      </w:r>
      <w:r>
        <w:t xml:space="preserve"> </w:t>
      </w:r>
      <w:r>
        <w:t xml:space="preserve">can</w:t>
      </w:r>
      <w:r>
        <w:t xml:space="preserve"> </w:t>
      </w:r>
      <w:r>
        <w:t xml:space="preserve">synthesize a convincing face and bypass biometric verification, enabling identity fraud. In Vietnam,</w:t>
      </w:r>
      <w:r>
        <w:t xml:space="preserve"> </w:t>
      </w:r>
      <w:r>
        <w:t xml:space="preserve">Circular 17/2024/TT-NHNN mandates biometric authentication for certain banking transactions. We note</w:t>
      </w:r>
      <w:r>
        <w:t xml:space="preserve"> </w:t>
      </w:r>
      <w:r>
        <w:t xml:space="preserve">explicitly that</w:t>
      </w:r>
      <w:r>
        <w:t xml:space="preserve"> </w:t>
      </w:r>
      <w:r>
        <w:rPr>
          <w:b/>
        </w:rPr>
        <w:t xml:space="preserve">this circular states a</w:t>
      </w:r>
      <w:r>
        <w:rPr>
          <w:b/>
        </w:rPr>
        <w:t xml:space="preserve"> </w:t>
      </w:r>
      <w:r>
        <w:rPr>
          <w:i/>
          <w:b/>
        </w:rPr>
        <w:t xml:space="preserve">qualitative</w:t>
      </w:r>
      <w:r>
        <w:rPr>
          <w:b/>
        </w:rPr>
        <w:t xml:space="preserve"> </w:t>
      </w:r>
      <w:r>
        <w:rPr>
          <w:b/>
        </w:rPr>
        <w:t xml:space="preserve">requirement and does not prescribe a</w:t>
      </w:r>
      <w:r>
        <w:rPr>
          <w:b/>
        </w:rPr>
        <w:t xml:space="preserve"> </w:t>
      </w:r>
      <w:r>
        <w:rPr>
          <w:b/>
        </w:rPr>
        <w:t xml:space="preserve">numeric error threshold</w:t>
      </w:r>
      <w:r>
        <w:t xml:space="preserve">; to make the requirement measurable we</w:t>
      </w:r>
      <w:r>
        <w:t xml:space="preserve"> </w:t>
      </w:r>
      <w:r>
        <w:rPr>
          <w:i/>
        </w:rPr>
        <w:t xml:space="preserve">adopt</w:t>
      </w:r>
      <w:r>
        <w:t xml:space="preserve"> </w:t>
      </w:r>
      <w:r>
        <w:t xml:space="preserve">an operating point of</w:t>
      </w:r>
      <w:r>
        <w:t xml:space="preserve"> </w:t>
      </w:r>
      <m:oMath>
        <m:r>
          <m:rPr>
            <m:nor/>
            <m:sty m:val="p"/>
          </m:rPr>
          <m:t>FPR</m:t>
        </m:r>
        <m:r>
          <m:t>≤</m:t>
        </m:r>
        <m:r>
          <m:t>5</m:t>
        </m:r>
        <m:r>
          <m:t>%</m:t>
        </m:r>
      </m:oMath>
      <w:r>
        <w:t xml:space="preserve"> </w:t>
      </w:r>
      <w:r>
        <w:t xml:space="preserve">following the ISO/IEC 30107-3 convention (BPCER20) </w:t>
      </w:r>
      <w:r>
        <w:t xml:space="preserve">.</w:t>
      </w:r>
    </w:p>
    <w:p>
      <w:pPr>
        <w:pStyle w:val="BodyText"/>
      </w:pPr>
      <w:r>
        <w:t xml:space="preserve">A central obstacle is the</w:t>
      </w:r>
      <w:r>
        <w:t xml:space="preserve"> </w:t>
      </w:r>
      <w:r>
        <w:rPr>
          <w:i/>
        </w:rPr>
        <w:t xml:space="preserve">in-dataset-high / cross-dataset-low</w:t>
      </w:r>
      <w:r>
        <w:t xml:space="preserve"> </w:t>
      </w:r>
      <w:r>
        <w:t xml:space="preserve">paradox: a detector with near-perfect</w:t>
      </w:r>
      <w:r>
        <w:t xml:space="preserve"> </w:t>
      </w:r>
      <w:r>
        <w:t xml:space="preserve">in-domain accuracy can collapse on a new corpus </w:t>
      </w:r>
      <w:r>
        <w:t xml:space="preserve">. The core hypothesis we</w:t>
      </w:r>
      <w:r>
        <w:t xml:space="preserve"> </w:t>
      </w:r>
      <w:r>
        <w:t xml:space="preserve">build on is that up-sampling/GAN artifacts are weak in the spatial domain but more visible in</w:t>
      </w:r>
      <w:r>
        <w:t xml:space="preserve"> </w:t>
      </w:r>
      <w:r>
        <w:t xml:space="preserve">mid/high 2D-DCT frequency bands, so spatial and frequency cues should be</w:t>
      </w:r>
      <w:r>
        <w:t xml:space="preserve"> </w:t>
      </w:r>
      <w:r>
        <w:rPr>
          <w:i/>
        </w:rPr>
        <w:t xml:space="preserve">complementary</w:t>
      </w:r>
      <w:r>
        <w:t xml:space="preserve">.</w:t>
      </w:r>
    </w:p>
    <w:p>
      <w:pPr>
        <w:pStyle w:val="BodyText"/>
      </w:pPr>
      <w:r>
        <w:rPr>
          <w:b/>
        </w:rPr>
        <w:t xml:space="preserve">We do not claim a new mechanism or SOTA AUC.</w:t>
      </w:r>
      <w:r>
        <w:t xml:space="preserve"> </w:t>
      </w:r>
      <w:r>
        <w:t xml:space="preserve">Instead, this paper makes three contributions:</w:t>
      </w:r>
    </w:p>
    <w:p>
      <w:pPr>
        <w:numPr>
          <w:ilvl w:val="0"/>
          <w:numId w:val="1001"/>
        </w:numPr>
      </w:pPr>
      <w:r>
        <w:rPr>
          <w:b/>
        </w:rPr>
        <w:t xml:space="preserve">C1 (architecture/safety).</w:t>
      </w:r>
      <w:r>
        <w:t xml:space="preserve"> </w:t>
      </w:r>
      <w:r>
        <w:t xml:space="preserve">A</w:t>
      </w:r>
      <w:r>
        <w:t xml:space="preserve"> </w:t>
      </w:r>
      <w:r>
        <w:rPr>
          <w:i/>
        </w:rPr>
        <w:t xml:space="preserve">floor-preserving</w:t>
      </w:r>
      <w:r>
        <w:t xml:space="preserve"> </w:t>
      </w:r>
      <w:r>
        <w:t xml:space="preserve">spatial–frequency fusion:</w:t>
      </w:r>
      <w:r>
        <w:t xml:space="preserve"> </w:t>
      </w:r>
      <w:r>
        <w:t xml:space="preserve">a block-DCT branch fused into B4 by a zero-initialized gated cross-attention, so the model at</w:t>
      </w:r>
      <w:r>
        <w:t xml:space="preserve"> </w:t>
      </w:r>
      <w:r>
        <w:t xml:space="preserve">initialization equals the calibrated backbone (Sec. </w:t>
      </w:r>
      <w:hyperlink w:anchor="sec:method">
        <w:r>
          <w:rPr>
            <w:rStyle w:val="Hyperlink"/>
          </w:rPr>
          <w:t xml:space="preserve">3</w:t>
        </w:r>
      </w:hyperlink>
      <w:r>
        <w:t xml:space="preserve">).</w:t>
      </w:r>
    </w:p>
    <w:p>
      <w:pPr>
        <w:numPr>
          <w:ilvl w:val="0"/>
          <w:numId w:val="1001"/>
        </w:numPr>
      </w:pPr>
      <w:r>
        <w:rPr>
          <w:b/>
        </w:rPr>
        <w:t xml:space="preserve">C2 (evaluation).</w:t>
      </w:r>
      <w:r>
        <w:t xml:space="preserve"> </w:t>
      </w:r>
      <w:r>
        <w:t xml:space="preserve">A regulation-aware eKYC operating-point evaluation that calibrates</w:t>
      </w:r>
      <w:r>
        <w:t xml:space="preserve"> </w:t>
      </w:r>
      <w:r>
        <w:t xml:space="preserve">the decision threshold at</w:t>
      </w:r>
      <w:r>
        <w:t xml:space="preserve"> </w:t>
      </w:r>
      <m:oMath>
        <m:r>
          <m:rPr>
            <m:nor/>
            <m:sty m:val="p"/>
          </m:rPr>
          <m:t>FPR</m:t>
        </m:r>
        <m:r>
          <m:t>≤</m:t>
        </m:r>
        <m:r>
          <m:t>5</m:t>
        </m:r>
        <m:r>
          <m:t>%</m:t>
        </m:r>
      </m:oMath>
      <w:r>
        <w:t xml:space="preserve"> </w:t>
      </w:r>
      <w:r>
        <w:t xml:space="preserve">and decomposes errors with the ISO/IEC 30107-3</w:t>
      </w:r>
      <w:r>
        <w:t xml:space="preserve"> </w:t>
      </w:r>
      <w:r>
        <w:t xml:space="preserve">taxonomy on forgery (Sec. </w:t>
      </w:r>
      <w:hyperlink w:anchor="sec:ekyc">
        <w:r>
          <w:rPr>
            <w:rStyle w:val="Hyperlink"/>
          </w:rPr>
          <w:t xml:space="preserve">4.1</w:t>
        </w:r>
      </w:hyperlink>
      <w:r>
        <w:t xml:space="preserve">).</w:t>
      </w:r>
    </w:p>
    <w:p>
      <w:pPr>
        <w:numPr>
          <w:ilvl w:val="0"/>
          <w:numId w:val="1001"/>
        </w:numPr>
      </w:pPr>
      <w:r>
        <w:rPr>
          <w:b/>
        </w:rPr>
        <w:t xml:space="preserve">C3 (resource).</w:t>
      </w:r>
      <w:r>
        <w:t xml:space="preserve"> </w:t>
      </w:r>
      <w:r>
        <w:t xml:space="preserve">A small</w:t>
      </w:r>
      <w:r>
        <w:t xml:space="preserve"> </w:t>
      </w:r>
      <w:r>
        <w:rPr>
          <w:i/>
        </w:rPr>
        <w:t xml:space="preserve">test-only</w:t>
      </w:r>
      <w:r>
        <w:t xml:space="preserve"> </w:t>
      </w:r>
      <w:r>
        <w:t xml:space="preserve">Vietnamese-face deepfake set for the eKYC</w:t>
      </w:r>
      <w:r>
        <w:t xml:space="preserve"> </w:t>
      </w:r>
      <w:r>
        <w:t xml:space="preserve">operating point (</w:t>
      </w:r>
      <w:r>
        <w:t xml:space="preserve">[TODO: collect; described in Sec. </w:t>
      </w:r>
      <w:hyperlink w:anchor="sec:limits">
        <w:r>
          <w:rPr>
            <w:rStyle w:val="Hyperlink"/>
          </w:rPr>
          <w:t xml:space="preserve">5</w:t>
        </w:r>
      </w:hyperlink>
      <w:r>
        <w:t xml:space="preserve">]</w:t>
      </w:r>
      <w:r>
        <w:t xml:space="preserve">).</w:t>
      </w:r>
    </w:p>
    <w:p>
      <w:pPr>
        <w:pStyle w:val="FirstParagraph"/>
      </w:pPr>
      <w:r>
        <w:t xml:space="preserve">Two methodological pillars support these: a DeepfakeBench-faithful ablation protocol and honest</w:t>
      </w:r>
      <w:r>
        <w:t xml:space="preserve"> </w:t>
      </w:r>
      <w:r>
        <w:t xml:space="preserve">bootstrap-CI reporting that lets us</w:t>
      </w:r>
      <w:r>
        <w:t xml:space="preserve"> </w:t>
      </w:r>
      <w:r>
        <w:rPr>
          <w:i/>
        </w:rPr>
        <w:t xml:space="preserve">refute our own</w:t>
      </w:r>
      <w:r>
        <w:t xml:space="preserve"> </w:t>
      </w:r>
      <w:r>
        <w:t xml:space="preserve">AUC gain when it is within noise.</w:t>
      </w:r>
    </w:p>
    <w:p>
      <w:pPr>
        <w:pStyle w:val="Heading1"/>
      </w:pPr>
      <w:bookmarkStart w:id="21" w:name="related-work"/>
      <w:r>
        <w:t xml:space="preserve">Related Work</w:t>
      </w:r>
      <w:bookmarkEnd w:id="21"/>
    </w:p>
    <w:p>
      <w:pPr>
        <w:pStyle w:val="FirstParagraph"/>
      </w:pPr>
      <w:r>
        <w:rPr>
          <w:b/>
        </w:rPr>
        <w:t xml:space="preserve">Frequency-domain forgery detection.</w:t>
      </w:r>
      <w:r>
        <w:t xml:space="preserve"> </w:t>
      </w:r>
      <w:r>
        <w:t xml:space="preserve">F3-Net mines learnable frequency bands and local</w:t>
      </w:r>
      <w:r>
        <w:t xml:space="preserve"> </w:t>
      </w:r>
      <w:r>
        <w:t xml:space="preserve">statistics </w:t>
      </w:r>
      <w:r>
        <w:t xml:space="preserve">; SPSL uses the phase spectrum </w:t>
      </w:r>
      <w:r>
        <w:t xml:space="preserve">; high-frequency</w:t>
      </w:r>
      <w:r>
        <w:t xml:space="preserve"> </w:t>
      </w:r>
      <w:r>
        <w:t xml:space="preserve">SRM residuals improve generalization </w:t>
      </w:r>
      <w:r>
        <w:t xml:space="preserve">; FcaNet generalizes channel attention with</w:t>
      </w:r>
      <w:r>
        <w:t xml:space="preserve"> </w:t>
      </w:r>
      <w:r>
        <w:t xml:space="preserve">multi-spectral 2D-DCT </w:t>
      </w:r>
      <w:r>
        <w:t xml:space="preserve">; FDFL adds a single-center loss </w:t>
      </w:r>
      <w:r>
        <w:t xml:space="preserve">;</w:t>
      </w:r>
      <w:r>
        <w:t xml:space="preserve"> </w:t>
      </w:r>
      <w:r>
        <w:t xml:space="preserve">FreqDebias mixes amplitude spectra to fight spectral bias </w:t>
      </w:r>
      <w:r>
        <w:t xml:space="preserve">. SFDCT does not</w:t>
      </w:r>
      <w:r>
        <w:t xml:space="preserve"> </w:t>
      </w:r>
      <w:r>
        <w:t xml:space="preserve">introduce a new frequency operator; it</w:t>
      </w:r>
      <w:r>
        <w:t xml:space="preserve"> </w:t>
      </w:r>
      <w:r>
        <w:rPr>
          <w:i/>
        </w:rPr>
        <w:t xml:space="preserve">unifies</w:t>
      </w:r>
      <w:r>
        <w:t xml:space="preserve"> </w:t>
      </w:r>
      <w:r>
        <w:t xml:space="preserve">five such levers (S1–S5) inside a single</w:t>
      </w:r>
      <w:r>
        <w:t xml:space="preserve"> </w:t>
      </w:r>
      <w:r>
        <w:t xml:space="preserve">block-DCT domain. On the standardized DeepfakeBench scale, SPSL (0.7650) and SRM (0.7552) remain</w:t>
      </w:r>
      <w:r>
        <w:t xml:space="preserve"> </w:t>
      </w:r>
      <w:r>
        <w:t xml:space="preserve">at or above our naive SFDCT (0.7572):</w:t>
      </w:r>
      <w:r>
        <w:t xml:space="preserve"> </w:t>
      </w:r>
      <w:r>
        <w:rPr>
          <w:b/>
        </w:rPr>
        <w:t xml:space="preserve">we do not outperform SPSL.</w:t>
      </w:r>
    </w:p>
    <w:p>
      <w:pPr>
        <w:pStyle w:val="BodyText"/>
      </w:pPr>
      <w:r>
        <w:rPr>
          <w:b/>
        </w:rPr>
        <w:t xml:space="preserve">Spatial–frequency fusion and zero-init gating.</w:t>
      </w:r>
      <w:r>
        <w:t xml:space="preserve"> </w:t>
      </w:r>
      <w:r>
        <w:t xml:space="preserve">Most two-stream detectors fuse by</w:t>
      </w:r>
      <w:r>
        <w:t xml:space="preserve"> </w:t>
      </w:r>
      <w:r>
        <w:t xml:space="preserve">concatenation or plain cross-attention without any guarantee against regression. Residual zero-init</w:t>
      </w:r>
      <w:r>
        <w:t xml:space="preserve"> </w:t>
      </w:r>
      <w:r>
        <w:t xml:space="preserve">(ReZero </w:t>
      </w:r>
      <w:r>
        <w:t xml:space="preserve">) and zero-gated cross-attention (Flamingo </w:t>
      </w:r>
      <w:r>
        <w:t xml:space="preserve">)</w:t>
      </w:r>
      <w:r>
        <w:t xml:space="preserve"> </w:t>
      </w:r>
      <w:r>
        <w:t xml:space="preserve">are known in other domains. The closest work is SFCL-HCMF </w:t>
      </w:r>
      <w:r>
        <w:t xml:space="preserve">, which also pairs a</w:t>
      </w:r>
      <w:r>
        <w:t xml:space="preserve"> </w:t>
      </w:r>
      <w:r>
        <w:t xml:space="preserve">block-DCT</w:t>
      </w:r>
      <w:r>
        <w:t xml:space="preserve"> </w:t>
      </w:r>
      <m:oMath>
        <m:r>
          <m:t>8</m:t>
        </m:r>
        <m:r>
          <m:t>×</m:t>
        </m:r>
        <m:r>
          <m:t>8</m:t>
        </m:r>
      </m:oMath>
      <w:r>
        <w:t xml:space="preserve"> </w:t>
      </w:r>
      <w:r>
        <w:t xml:space="preserve">YCbCr branch with EfficientNet-B4 and gated cross-modal fusion; the decisive</w:t>
      </w:r>
      <w:r>
        <w:t xml:space="preserve"> </w:t>
      </w:r>
      <w:r>
        <w:t xml:space="preserve">difference is its gate</w:t>
      </w:r>
      <w:r>
        <w:t xml:space="preserve"> </w:t>
      </w:r>
      <m:oMath>
        <m:r>
          <m:t>σ</m:t>
        </m:r>
        <m:r>
          <m:t>(</m:t>
        </m:r>
        <m:r>
          <m:t>γ</m:t>
        </m:r>
        <m:r>
          <m:t>)</m:t>
        </m:r>
      </m:oMath>
      <w:r>
        <w:t xml:space="preserve"> </w:t>
      </w:r>
      <w:r>
        <w:t xml:space="preserve">initializes at</w:t>
      </w:r>
      <w:r>
        <w:t xml:space="preserve"> </w:t>
      </w:r>
      <m:oMath>
        <m:r>
          <m:t>0.5</m:t>
        </m:r>
      </m:oMath>
      <w:r>
        <w:t xml:space="preserve"> </w:t>
      </w:r>
      <w:r>
        <w:t xml:space="preserve">(no floor), whereas our</w:t>
      </w:r>
      <w:r>
        <w:t xml:space="preserve"> </w:t>
      </w:r>
      <m:oMath>
        <m:r>
          <m:t>α</m:t>
        </m:r>
        <m:r>
          <m:t>=</m:t>
        </m:r>
        <m:r>
          <m:t>0</m:t>
        </m:r>
      </m:oMath>
      <w:r>
        <w:t xml:space="preserve"> </w:t>
      </w:r>
      <w:r>
        <w:t xml:space="preserve">yields a</w:t>
      </w:r>
      <w:r>
        <w:t xml:space="preserve"> </w:t>
      </w:r>
      <w:r>
        <w:t xml:space="preserve">mathematical floor</w:t>
      </w:r>
      <w:r>
        <w:t xml:space="preserve"> </w:t>
      </w:r>
      <m:oMath>
        <m:r>
          <m:t>≥</m:t>
        </m:r>
      </m:oMath>
      <w:r>
        <w:t xml:space="preserve"> </w:t>
      </w:r>
      <w:r>
        <w:t xml:space="preserve">B4. SFDCT’s C1 is thus a</w:t>
      </w:r>
      <w:r>
        <w:t xml:space="preserve"> </w:t>
      </w:r>
      <w:r>
        <w:rPr>
          <w:i/>
        </w:rPr>
        <w:t xml:space="preserve">new application/combination</w:t>
      </w:r>
      <w:r>
        <w:t xml:space="preserve">, not a new mechanism.</w:t>
      </w:r>
    </w:p>
    <w:p>
      <w:pPr>
        <w:pStyle w:val="BodyText"/>
      </w:pPr>
      <w:r>
        <w:rPr>
          <w:b/>
        </w:rPr>
        <w:t xml:space="preserve">Cross-dataset / eKYC evaluation.</w:t>
      </w:r>
      <w:r>
        <w:t xml:space="preserve"> </w:t>
      </w:r>
      <w:r>
        <w:t xml:space="preserve">TPR@FPR for deepfakes and APCER/BPCER/ACER from PAD</w:t>
      </w:r>
      <w:r>
        <w:t xml:space="preserve"> </w:t>
      </w:r>
      <w:r>
        <w:t xml:space="preserve">(ISO/IEC 30107-3 </w:t>
      </w:r>
      <w:r>
        <w:t xml:space="preserve">) already exist; ethnicity-specific deepfake sets (e.g. KoDF) are</w:t>
      </w:r>
      <w:r>
        <w:t xml:space="preserve"> </w:t>
      </w:r>
      <w:r>
        <w:t xml:space="preserve">common. Our delta is narrow and honest: anchoring the operating point to the Vietnamese eKYC context</w:t>
      </w:r>
      <w:r>
        <w:t xml:space="preserve"> </w:t>
      </w:r>
      <w:r>
        <w:t xml:space="preserve">and providing a VN-face test instance.</w:t>
      </w:r>
    </w:p>
    <w:p>
      <w:pPr>
        <w:pStyle w:val="Heading1"/>
      </w:pPr>
      <w:bookmarkStart w:id="22" w:name="sec:method"/>
      <w:r>
        <w:t xml:space="preserve">Method</w:t>
      </w:r>
      <w:bookmarkEnd w:id="22"/>
    </w:p>
    <w:p>
      <w:pPr>
        <w:pStyle w:val="FirstParagraph"/>
      </w:pPr>
      <w:r>
        <w:rPr>
          <w:b/>
        </w:rPr>
        <w:t xml:space="preserve">Spatial branch.</w:t>
      </w:r>
      <w:r>
        <w:t xml:space="preserve"> </w:t>
      </w:r>
      <w:r>
        <w:t xml:space="preserve">EfficientNet-B4 </w:t>
      </w:r>
      <w:r>
        <w:t xml:space="preserve"> </w:t>
      </w:r>
      <w:r>
        <w:t xml:space="preserve">pretrained on ImageNet produces a</w:t>
      </w:r>
      <w:r>
        <w:t xml:space="preserve"> </w:t>
      </w:r>
      <w:r>
        <w:t xml:space="preserve">feature map</w:t>
      </w:r>
      <w:r>
        <w:t xml:space="preserve"> </w:t>
      </w:r>
      <m:oMath>
        <m:r>
          <m:t>x</m:t>
        </m:r>
      </m:oMath>
      <w:r>
        <w:t xml:space="preserve"> </w:t>
      </w:r>
      <w:r>
        <w:t xml:space="preserve">from a</w:t>
      </w:r>
      <w:r>
        <w:t xml:space="preserve"> </w:t>
      </w:r>
      <m:oMath>
        <m:r>
          <m:t>256</m:t>
        </m:r>
        <m:r>
          <m:t>×</m:t>
        </m:r>
        <m:r>
          <m:t>256</m:t>
        </m:r>
      </m:oMath>
      <w:r>
        <w:t xml:space="preserve"> </w:t>
      </w:r>
      <w:r>
        <w:t xml:space="preserve">aligned face crop.</w:t>
      </w:r>
    </w:p>
    <w:p>
      <w:pPr>
        <w:pStyle w:val="BodyText"/>
      </w:pPr>
      <w:r>
        <w:rPr>
          <w:b/>
        </w:rPr>
        <w:t xml:space="preserve">Frequency branch.</w:t>
      </w:r>
      <w:r>
        <w:t xml:space="preserve"> </w:t>
      </w:r>
      <w:r>
        <w:t xml:space="preserve">The crop is converted to YCbCr; a block-wise</w:t>
      </w:r>
      <w:r>
        <w:t xml:space="preserve"> </w:t>
      </w:r>
      <m:oMath>
        <m:r>
          <m:t>8</m:t>
        </m:r>
        <m:r>
          <m:t>×</m:t>
        </m:r>
        <m:r>
          <m:t>8</m:t>
        </m:r>
      </m:oMath>
      <w:r>
        <w:t xml:space="preserve"> </w:t>
      </w:r>
      <w:r>
        <w:t xml:space="preserve">2D-DCT is applied,</w:t>
      </w:r>
      <w:r>
        <w:t xml:space="preserve"> </w:t>
      </w:r>
      <w:r>
        <w:t xml:space="preserve">its log-magnitude is taken and grouped into 16 zigzag bands (with an option to drop the DC and lowest</w:t>
      </w:r>
      <w:r>
        <w:t xml:space="preserve"> </w:t>
      </w:r>
      <w:r>
        <w:t xml:space="preserve">bands to curb content leakage). This yields a frequency feature</w:t>
      </w:r>
      <w:r>
        <w:t xml:space="preserve"> </w:t>
      </w:r>
      <m:oMath>
        <m:r>
          <m:t>f</m:t>
        </m:r>
      </m:oMath>
      <w:r>
        <w:t xml:space="preserve">.</w:t>
      </w:r>
    </w:p>
    <w:p>
      <w:pPr>
        <w:pStyle w:val="BodyText"/>
      </w:pPr>
      <w:r>
        <w:rPr>
          <w:b/>
        </w:rPr>
        <w:t xml:space="preserve">Floor-preserving fusion.</w:t>
      </w:r>
      <w:r>
        <w:t xml:space="preserve"> </w:t>
      </w:r>
      <w:r>
        <w:t xml:space="preserve">The two streams are merged by a gated cross-attention</w:t>
      </w:r>
    </w:p>
    <w:p>
      <w:pPr>
        <w:pStyle w:val="BodyText"/>
      </w:pPr>
      <m:oMathPara>
        <m:oMathParaPr>
          <m:jc m:val="center"/>
        </m:oMathParaPr>
        <m:oMath>
          <m:r>
            <m:rPr>
              <m:nor/>
              <m:sty m:val="p"/>
            </m:rPr>
            <m:t>feature</m:t>
          </m:r>
          <m:r>
            <m:t>=</m:t>
          </m:r>
          <m:r>
            <m:t>x</m:t>
          </m:r>
          <m:r>
            <m:t>+</m:t>
          </m:r>
          <m:r>
            <m:t>α</m:t>
          </m:r>
          <m:r>
            <m:t>⋅</m:t>
          </m:r>
          <m:r>
            <m:rPr>
              <m:sty m:val="p"/>
            </m:rPr>
            <m:t>C</m:t>
          </m:r>
          <m:r>
            <m:rPr>
              <m:sty m:val="p"/>
            </m:rPr>
            <m:t>r</m:t>
          </m:r>
          <m:r>
            <m:rPr>
              <m:sty m:val="p"/>
            </m:rPr>
            <m:t>o</m:t>
          </m:r>
          <m:r>
            <m:rPr>
              <m:sty m:val="p"/>
            </m:rPr>
            <m:t>s</m:t>
          </m:r>
          <m:r>
            <m:rPr>
              <m:sty m:val="p"/>
            </m:rPr>
            <m:t>s</m:t>
          </m:r>
          <m:r>
            <m:rPr>
              <m:sty m:val="p"/>
            </m:rPr>
            <m:t>A</m:t>
          </m:r>
          <m:r>
            <m:rPr>
              <m:sty m:val="p"/>
            </m:rPr>
            <m:t>t</m:t>
          </m:r>
          <m:r>
            <m:rPr>
              <m:sty m:val="p"/>
            </m:rPr>
            <m:t>t</m:t>
          </m:r>
          <m:r>
            <m:rPr>
              <m:sty m:val="p"/>
            </m:rPr>
            <m:t>n</m:t>
          </m:r>
          <m:r>
            <m:t>(</m:t>
          </m:r>
          <m:r>
            <m:t>x</m:t>
          </m:r>
          <m:r>
            <m:t>,</m:t>
          </m:r>
          <m:r>
            <m:t>f</m:t>
          </m:r>
          <m:r>
            <m:t>)</m:t>
          </m:r>
          <m:r>
            <m:t>,</m:t>
          </m:r>
          <m:r>
            <m:t>  </m:t>
          </m:r>
          <m:r>
            <m:t>α</m:t>
          </m:r>
          <m:r>
            <m:t>​</m:t>
          </m:r>
          <m:r>
            <m:t>←</m:t>
          </m:r>
          <m:r>
            <m:t>​</m:t>
          </m:r>
          <m:r>
            <m:t>0</m:t>
          </m:r>
          <m:r>
            <m:rPr>
              <m:nor/>
              <m:sty m:val="p"/>
            </m:rPr>
            <m:t> at init</m:t>
          </m:r>
          <m:r>
            <m:t>,</m:t>
          </m:r>
        </m:oMath>
      </m:oMathPara>
    </w:p>
    <w:p>
      <w:pPr>
        <w:pStyle w:val="FirstParagraph"/>
      </w:pPr>
      <w:r>
        <w:t xml:space="preserve">where</w:t>
      </w:r>
      <w:r>
        <w:t xml:space="preserve"> </w:t>
      </w:r>
      <m:oMath>
        <m:r>
          <m:t>α</m:t>
        </m:r>
      </m:oMath>
      <w:r>
        <w:t xml:space="preserve"> </w:t>
      </w:r>
      <w:r>
        <w:t xml:space="preserve">is a learnable scalar gate initialized to</w:t>
      </w:r>
      <w:r>
        <w:t xml:space="preserve"> </w:t>
      </w:r>
      <m:oMath>
        <m:r>
          <m:t>0</m:t>
        </m:r>
      </m:oMath>
      <w:r>
        <w:t xml:space="preserve">. At initialization the model is identical</w:t>
      </w:r>
      <w:r>
        <w:t xml:space="preserve"> </w:t>
      </w:r>
      <w:r>
        <w:t xml:space="preserve">to B4, guaranteeing performance never below the calibrated backbone; a positive learned</w:t>
      </w:r>
      <w:r>
        <w:t xml:space="preserve"> </w:t>
      </w:r>
      <m:oMath>
        <m:r>
          <m:t>α</m:t>
        </m:r>
      </m:oMath>
      <w:r>
        <w:t xml:space="preserve"> </w:t>
      </w:r>
      <w:r>
        <w:t xml:space="preserve">is</w:t>
      </w:r>
      <w:r>
        <w:t xml:space="preserve"> </w:t>
      </w:r>
      <w:r>
        <w:t xml:space="preserve">direct evidence the frequency branch is used (Fig. </w:t>
      </w:r>
      <w:hyperlink w:anchor="fig:gate">
        <w:r>
          <w:rPr>
            <w:rStyle w:val="Hyperlink"/>
          </w:rPr>
          <w:t xml:space="preserve">7</w:t>
        </w:r>
      </w:hyperlink>
      <w:r>
        <w:t xml:space="preserve">).</w:t>
      </w:r>
    </w:p>
    <w:p>
      <w:pPr>
        <w:pStyle w:val="BodyText"/>
      </w:pPr>
      <w:r>
        <w:rPr>
          <w:b/>
        </w:rPr>
        <w:t xml:space="preserve">Five frequency levers (S1–S5).</w:t>
      </w:r>
      <w:r>
        <w:t xml:space="preserve"> </w:t>
      </w:r>
      <w:r>
        <w:t xml:space="preserve">Adapted into the single block-DCT domain: S1 DCT coefficient</w:t>
      </w:r>
      <w:r>
        <w:t xml:space="preserve"> </w:t>
      </w:r>
      <w:r>
        <w:t xml:space="preserve">sign (cf. SPSL), S2 DCT on SRM residual (cf. SRM), S3 DCT-FoMixup + dual consistency (cf. FreqDebias),</w:t>
      </w:r>
      <w:r>
        <w:t xml:space="preserve"> </w:t>
      </w:r>
      <w:r>
        <w:t xml:space="preserve">S4 multi-spectral DCT attention (cf. FcaNet), S5 single-center loss (cf. FDFL). All are off in</w:t>
      </w:r>
      <w:r>
        <w:t xml:space="preserve"> </w:t>
      </w:r>
      <w:r>
        <w:t xml:space="preserve">“</w:t>
      </w:r>
      <w:r>
        <w:t xml:space="preserve">naive SFDCT</w:t>
      </w:r>
      <w:r>
        <w:t xml:space="preserve">”</w:t>
      </w:r>
      <w:r>
        <w:t xml:space="preserve">.</w:t>
      </w:r>
    </w:p>
    <w:p>
      <w:pPr>
        <w:pStyle w:val="BodyText"/>
      </w:pPr>
      <w:r>
        <w:rPr>
          <w:b/>
        </w:rPr>
        <w:t xml:space="preserve">Training.</w:t>
      </w:r>
      <w:r>
        <w:t xml:space="preserve"> </w:t>
      </w:r>
      <w:r>
        <w:t xml:space="preserve">Adam (</w:t>
      </w:r>
      <m:oMath>
        <m:r>
          <m:rPr>
            <m:nor/>
            <m:sty m:val="p"/>
          </m:rPr>
          <m:t>lr</m:t>
        </m:r>
        <m:r>
          <m:t>=</m:t>
        </m:r>
        <m:r>
          <m:t>2</m:t>
        </m:r>
        <m:r>
          <m:t>​</m:t>
        </m:r>
        <m:r>
          <m:t>×</m:t>
        </m:r>
        <m:r>
          <m:t>​</m:t>
        </m:r>
        <m:sSup>
          <m:e>
            <m:r>
              <m:t>10</m:t>
            </m:r>
          </m:e>
          <m:sup>
            <m:r>
              <m:t>−</m:t>
            </m:r>
            <m:r>
              <m:t>4</m:t>
            </m:r>
          </m:sup>
        </m:sSup>
      </m:oMath>
      <w:r>
        <w:t xml:space="preserve">, weight decay</w:t>
      </w:r>
      <w:r>
        <w:t xml:space="preserve"> </w:t>
      </w:r>
      <m:oMath>
        <m:r>
          <m:t>5</m:t>
        </m:r>
        <m:r>
          <m:t>​</m:t>
        </m:r>
        <m:r>
          <m:t>×</m:t>
        </m:r>
        <m:r>
          <m:t>​</m:t>
        </m:r>
        <m:sSup>
          <m:e>
            <m:r>
              <m:t>10</m:t>
            </m:r>
          </m:e>
          <m:sup>
            <m:r>
              <m:t>−</m:t>
            </m:r>
            <m:r>
              <m:t>4</m:t>
            </m:r>
          </m:sup>
        </m:sSup>
      </m:oMath>
      <w:r>
        <w:t xml:space="preserve">), batch 32,</w:t>
      </w:r>
      <w:r>
        <w:t xml:space="preserve"> </w:t>
      </w:r>
      <w:r>
        <w:t xml:space="preserve">32 frames/video,</w:t>
      </w:r>
      <w:r>
        <w:t xml:space="preserve"> </w:t>
      </w:r>
      <m:oMath>
        <m:r>
          <m:t>256</m:t>
        </m:r>
        <m:r>
          <m:t>×</m:t>
        </m:r>
        <m:r>
          <m:t>256</m:t>
        </m:r>
      </m:oMath>
      <w:r>
        <w:t xml:space="preserve">, 10 epochs, seed 1024, cross-entropy; checkpoint by best test-AUC.</w:t>
      </w:r>
    </w:p>
    <w:p>
      <w:pPr>
        <w:pStyle w:val="Heading1"/>
      </w:pPr>
      <w:bookmarkStart w:id="23" w:name="sec:exp"/>
      <w:r>
        <w:t xml:space="preserve">Experiments</w:t>
      </w:r>
      <w:bookmarkEnd w:id="23"/>
    </w:p>
    <w:p>
      <w:pPr>
        <w:pStyle w:val="FirstParagraph"/>
      </w:pPr>
      <w:r>
        <w:rPr>
          <w:b/>
        </w:rPr>
        <w:t xml:space="preserve">Protocol.</w:t>
      </w:r>
      <w:r>
        <w:t xml:space="preserve"> </w:t>
      </w:r>
      <w:r>
        <w:t xml:space="preserve">We follow DeepfakeBench </w:t>
      </w:r>
      <w:r>
        <w:t xml:space="preserve">: train on FaceForensics++</w:t>
      </w:r>
      <w:r>
        <w:t xml:space="preserve"> </w:t>
      </w:r>
      <w:r>
        <w:t xml:space="preserve">c23 </w:t>
      </w:r>
      <w:r>
        <w:t xml:space="preserve">, test cross-dataset on Celeb-DF-v2 </w:t>
      </w:r>
      <w:r>
        <w:t xml:space="preserve">; the headline</w:t>
      </w:r>
      <w:r>
        <w:t xml:space="preserve"> </w:t>
      </w:r>
      <w:r>
        <w:t xml:space="preserve">metric is frame-level AUC. Fig. </w:t>
      </w:r>
      <w:hyperlink w:anchor="fig:dist">
        <w:r>
          <w:rPr>
            <w:rStyle w:val="Hyperlink"/>
          </w:rPr>
          <w:t xml:space="preserve">1</w:t>
        </w:r>
      </w:hyperlink>
      <w:r>
        <w:t xml:space="preserve"> </w:t>
      </w:r>
      <w:r>
        <w:t xml:space="preserve">shows the class distributions.</w:t>
      </w:r>
    </w:p>
    <w:p>
      <w:pPr>
        <w:pStyle w:val="CaptionedFigure"/>
      </w:pPr>
      <w:bookmarkStart w:id="25" w:name="fig:dist"/>
      <w:r>
        <w:drawing>
          <wp:inline>
            <wp:extent cx="5334000" cy="2099457"/>
            <wp:effectExtent b="0" l="0" r="0" t="0"/>
            <wp:docPr descr="Real/fake distribution: FF++ (train) vs Celeb-DF-v2 (test)." title="" id="1" name="Picture"/>
            <a:graphic>
              <a:graphicData uri="http://schemas.openxmlformats.org/drawingml/2006/picture">
                <pic:pic>
                  <pic:nvPicPr>
                    <pic:cNvPr descr="fig_3_1_distribution.png" id="0" name="Picture"/>
                    <pic:cNvPicPr>
                      <a:picLocks noChangeArrowheads="1" noChangeAspect="1"/>
                    </pic:cNvPicPr>
                  </pic:nvPicPr>
                  <pic:blipFill>
                    <a:blip r:embed="rId24"/>
                    <a:stretch>
                      <a:fillRect/>
                    </a:stretch>
                  </pic:blipFill>
                  <pic:spPr bwMode="auto">
                    <a:xfrm>
                      <a:off x="0" y="0"/>
                      <a:ext cx="5334000" cy="2099457"/>
                    </a:xfrm>
                    <a:prstGeom prst="rect">
                      <a:avLst/>
                    </a:prstGeom>
                    <a:noFill/>
                    <a:ln w="9525">
                      <a:noFill/>
                      <a:headEnd/>
                      <a:tailEnd/>
                    </a:ln>
                  </pic:spPr>
                </pic:pic>
              </a:graphicData>
            </a:graphic>
          </wp:inline>
        </w:drawing>
      </w:r>
      <w:bookmarkEnd w:id="25"/>
    </w:p>
    <w:p>
      <w:pPr>
        <w:pStyle w:val="ImageCaption"/>
      </w:pPr>
      <w:r>
        <w:t xml:space="preserve">Real/fake distribution: FF++ (train) vs Celeb-DF-v2 (test).</w:t>
      </w:r>
    </w:p>
    <w:p>
      <w:pPr>
        <w:pStyle w:val="BodyText"/>
      </w:pPr>
      <w:r>
        <w:rPr>
          <w:b/>
        </w:rPr>
        <w:t xml:space="preserve">Pipeline sanity &amp; convergence.</w:t>
      </w:r>
      <w:r>
        <w:t xml:space="preserve"> </w:t>
      </w:r>
      <w:r>
        <w:t xml:space="preserve">B4 reaches 0.7497, matching the DeepfakeBench leaderboard</w:t>
      </w:r>
      <w:r>
        <w:t xml:space="preserve"> </w:t>
      </w:r>
      <w:r>
        <w:t xml:space="preserve">(0.7487), confirming a correct pipeline. Training curves (Figs. </w:t>
      </w:r>
      <w:hyperlink w:anchor="fig:train">
        <w:r>
          <w:rPr>
            <w:rStyle w:val="Hyperlink"/>
          </w:rPr>
          <w:t xml:space="preserve">2</w:t>
        </w:r>
      </w:hyperlink>
      <w:r>
        <w:t xml:space="preserve">) are plotted directly</w:t>
      </w:r>
      <w:r>
        <w:t xml:space="preserve"> </w:t>
      </w:r>
      <w:r>
        <w:t xml:space="preserve">from real logs (no simulation).</w:t>
      </w:r>
    </w:p>
    <w:p>
      <w:pPr>
        <w:pStyle w:val="CaptionedFigure"/>
      </w:pPr>
      <w:bookmarkStart w:id="27" w:name="fig:train"/>
      <w:r>
        <w:drawing>
          <wp:inline>
            <wp:extent cx="5334000" cy="1480603"/>
            <wp:effectExtent b="0" l="0" r="0" t="0"/>
            <wp:docPr descr="Training/validation curves of naive SFDCT (loss + per-epoch test-AUC), from real logs." title="" id="1" name="Picture"/>
            <a:graphic>
              <a:graphicData uri="http://schemas.openxmlformats.org/drawingml/2006/picture">
                <pic:pic>
                  <pic:nvPicPr>
                    <pic:cNvPr descr="fig_3_4_train_naive.png" id="0" name="Picture"/>
                    <pic:cNvPicPr>
                      <a:picLocks noChangeArrowheads="1" noChangeAspect="1"/>
                    </pic:cNvPicPr>
                  </pic:nvPicPr>
                  <pic:blipFill>
                    <a:blip r:embed="rId26"/>
                    <a:stretch>
                      <a:fillRect/>
                    </a:stretch>
                  </pic:blipFill>
                  <pic:spPr bwMode="auto">
                    <a:xfrm>
                      <a:off x="0" y="0"/>
                      <a:ext cx="5334000" cy="1480603"/>
                    </a:xfrm>
                    <a:prstGeom prst="rect">
                      <a:avLst/>
                    </a:prstGeom>
                    <a:noFill/>
                    <a:ln w="9525">
                      <a:noFill/>
                      <a:headEnd/>
                      <a:tailEnd/>
                    </a:ln>
                  </pic:spPr>
                </pic:pic>
              </a:graphicData>
            </a:graphic>
          </wp:inline>
        </w:drawing>
      </w:r>
      <w:bookmarkEnd w:id="27"/>
    </w:p>
    <w:p>
      <w:pPr>
        <w:pStyle w:val="ImageCaption"/>
      </w:pPr>
      <w:r>
        <w:t xml:space="preserve">Training/validation curves of naive SFDCT (loss + per-epoch test-AUC), from real logs.</w:t>
      </w:r>
    </w:p>
    <w:p>
      <w:pPr>
        <w:pStyle w:val="BodyText"/>
      </w:pPr>
      <w:r>
        <w:rPr>
          <w:b/>
        </w:rPr>
        <w:t xml:space="preserve">Main result (honest).</w:t>
      </w:r>
      <w:r>
        <w:t xml:space="preserve"> </w:t>
      </w:r>
      <w:r>
        <w:t xml:space="preserve">Table </w:t>
      </w:r>
      <w:hyperlink w:anchor="tab:main">
        <w:r>
          <w:rPr>
            <w:rStyle w:val="Hyperlink"/>
          </w:rPr>
          <w:t xml:space="preserve">1</w:t>
        </w:r>
      </w:hyperlink>
      <w:r>
        <w:t xml:space="preserve"> </w:t>
      </w:r>
      <w:r>
        <w:t xml:space="preserve">reports the ablation ladder. Adding the block-DCT</w:t>
      </w:r>
      <w:r>
        <w:t xml:space="preserve"> </w:t>
      </w:r>
      <w:r>
        <w:t xml:space="preserve">branch lifts AUC to 0.7572 (</w:t>
      </w:r>
      <m:oMath>
        <m:r>
          <m:t>Δ</m:t>
        </m:r>
        <m:r>
          <m:t>=</m:t>
        </m:r>
        <m:r>
          <m:t>+</m:t>
        </m:r>
        <m:r>
          <m:t>0.0075</m:t>
        </m:r>
      </m:oMath>
      <w:r>
        <w:t xml:space="preserve">)</w:t>
      </w:r>
      <w:r>
        <w:t xml:space="preserve"> </w:t>
      </w:r>
      <w:r>
        <w:rPr>
          <w:i/>
        </w:rPr>
        <w:t xml:space="preserve">without</w:t>
      </w:r>
      <w:r>
        <w:t xml:space="preserve"> </w:t>
      </w:r>
      <w:r>
        <w:t xml:space="preserve">regressing the baseline (floor holds).</w:t>
      </w:r>
      <w:r>
        <w:t xml:space="preserve"> </w:t>
      </w:r>
      <w:r>
        <w:t xml:space="preserve">A bootstrap confidence interval over the test scores gives</w:t>
      </w:r>
      <w:r>
        <w:t xml:space="preserve"> </w:t>
      </w:r>
      <m:oMath>
        <m:r>
          <m:t>Δ</m:t>
        </m:r>
        <m:r>
          <m:rPr>
            <m:nor/>
            <m:sty m:val="p"/>
          </m:rPr>
          <m:t>AUC</m:t>
        </m:r>
        <m:r>
          <m:t>∈</m:t>
        </m:r>
        <m:r>
          <m:t>[</m:t>
        </m:r>
        <m:r>
          <m:t>−</m:t>
        </m:r>
        <m:r>
          <m:t>0.004</m:t>
        </m:r>
        <m:r>
          <m:t>,</m:t>
        </m:r>
        <m:r>
          <m:t>+</m:t>
        </m:r>
        <m:r>
          <m:t>0.019</m:t>
        </m:r>
        <m:r>
          <m:t>]</m:t>
        </m:r>
      </m:oMath>
      <w:r>
        <w:t xml:space="preserve"> </w:t>
      </w:r>
      <w:r>
        <w:t xml:space="preserve">(</w:t>
      </w:r>
      <m:oMath>
        <m:r>
          <m:t>p</m:t>
        </m:r>
        <m:r>
          <m:t>≈</m:t>
        </m:r>
        <m:r>
          <m:t>0.18</m:t>
        </m:r>
      </m:oMath>
      <w:r>
        <w:t xml:space="preserve">):</w:t>
      </w:r>
      <w:r>
        <w:t xml:space="preserve"> </w:t>
      </w:r>
      <w:r>
        <w:rPr>
          <w:b/>
        </w:rPr>
        <w:t xml:space="preserve">the gain is within noise</w:t>
      </w:r>
      <w:r>
        <w:t xml:space="preserve">; we therefore do not claim an AUC improvement, only</w:t>
      </w:r>
      <w:r>
        <w:t xml:space="preserve"> </w:t>
      </w:r>
      <w:r>
        <w:t xml:space="preserve">a non-regression with a safety guarantee. Row1 (0.7333) is</w:t>
      </w:r>
      <w:r>
        <w:t xml:space="preserve"> </w:t>
      </w:r>
      <w:r>
        <w:rPr>
          <w:i/>
        </w:rPr>
        <w:t xml:space="preserve">below</w:t>
      </w:r>
      <w:r>
        <w:t xml:space="preserve"> </w:t>
      </w:r>
      <w:r>
        <w:t xml:space="preserve">B4, i.e. the ladder is not</w:t>
      </w:r>
      <w:r>
        <w:t xml:space="preserve"> </w:t>
      </w:r>
      <w:r>
        <w:t xml:space="preserve">monotonic — shown openly, attributable to the missing gate/band-drop in that configuration.</w:t>
      </w:r>
      <w:r>
        <w:t xml:space="preserve"> </w:t>
      </w:r>
      <w:r>
        <w:t xml:space="preserve">ROC/PR curves are in Fig. </w:t>
      </w:r>
      <w:hyperlink w:anchor="fig:roc">
        <w:r>
          <w:rPr>
            <w:rStyle w:val="Hyperlink"/>
          </w:rPr>
          <w:t xml:space="preserve">3</w:t>
        </w:r>
      </w:hyperlink>
      <w:r>
        <w:t xml:space="preserve">.</w:t>
      </w:r>
    </w:p>
    <w:bookmarkStart w:id="28" w:name="tab:main"/>
    <w:p>
      <w:pPr>
        <w:pStyle w:val="TableCaption"/>
      </w:pPr>
      <w:r>
        <w:t xml:space="preserve">Cross-dataset frame-AUC (train FF++</w:t>
      </w:r>
      <w:r>
        <w:t xml:space="preserve"> </w:t>
      </w:r>
      <m:oMath>
        <m:r>
          <m:t>→</m:t>
        </m:r>
      </m:oMath>
      <w:r>
        <w:t xml:space="preserve"> </w:t>
      </w:r>
      <w:r>
        <w:t xml:space="preserve">test Celeb-DF-v2). Own single-seed runs.</w:t>
      </w:r>
    </w:p>
    <w:tbl>
      <w:tblPr>
        <w:tblStyle w:val="Table"/>
        <w:tblW w:type="pct" w:w="0.0"/>
        <w:tblLook w:firstRow="1"/>
        <w:tblCaption w:val="Cross-dataset frame-AUC (train FF++ \to test Celeb-DF-v2). Own single-seed runs."/>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center"/>
            </w:pPr>
            <w:r>
              <w:t xml:space="preserve">CDFv2 frame-AUC</w:t>
            </w:r>
          </w:p>
        </w:tc>
        <w:tc>
          <w:tcPr>
            <w:tcBorders>
              <w:bottom w:val="single"/>
            </w:tcBorders>
            <w:vAlign w:val="bottom"/>
          </w:tcPr>
          <w:p>
            <w:pPr>
              <w:pStyle w:val="Compact"/>
              <w:jc w:val="center"/>
            </w:pPr>
            <m:oMath>
              <m:r>
                <m:t>Δ</m:t>
              </m:r>
            </m:oMath>
            <w:r>
              <w:t xml:space="preserve"> </w:t>
            </w:r>
            <w:r>
              <w:t xml:space="preserve">vs B4</w:t>
            </w:r>
          </w:p>
        </w:tc>
      </w:tr>
      <w:tr>
        <w:tc>
          <w:p>
            <w:pPr>
              <w:pStyle w:val="Compact"/>
              <w:jc w:val="left"/>
            </w:pPr>
            <w:r>
              <w:t xml:space="preserve">B4 (baseline)</w:t>
            </w:r>
          </w:p>
        </w:tc>
        <w:tc>
          <w:p>
            <w:pPr>
              <w:pStyle w:val="Compact"/>
              <w:jc w:val="center"/>
            </w:pPr>
            <w:r>
              <w:t xml:space="preserve">0.7497</w:t>
            </w:r>
          </w:p>
        </w:tc>
        <w:tc>
          <w:p>
            <w:pPr>
              <w:pStyle w:val="Compact"/>
              <w:jc w:val="center"/>
            </w:pPr>
            <w:r>
              <w:t xml:space="preserve">—</w:t>
            </w:r>
          </w:p>
        </w:tc>
      </w:tr>
      <w:tr>
        <w:tc>
          <w:p>
            <w:pPr>
              <w:pStyle w:val="Compact"/>
              <w:jc w:val="left"/>
            </w:pPr>
            <w:r>
              <w:t xml:space="preserve">naive SFDCT (B4-DCT)</w:t>
            </w:r>
          </w:p>
        </w:tc>
        <w:tc>
          <w:p>
            <w:pPr>
              <w:pStyle w:val="Compact"/>
              <w:jc w:val="center"/>
            </w:pPr>
            <w:r>
              <w:rPr>
                <w:b/>
              </w:rPr>
              <w:t xml:space="preserve">0.7572</w:t>
            </w:r>
          </w:p>
        </w:tc>
        <w:tc>
          <w:p>
            <w:pPr>
              <w:pStyle w:val="Compact"/>
              <w:jc w:val="center"/>
            </w:pPr>
            <m:oMath>
              <m:r>
                <m:t>+</m:t>
              </m:r>
              <m:r>
                <m:t>0.0075</m:t>
              </m:r>
            </m:oMath>
            <w:r>
              <w:t xml:space="preserve"> </w:t>
            </w:r>
            <w:r>
              <w:t xml:space="preserve">(in noise)</w:t>
            </w:r>
          </w:p>
        </w:tc>
      </w:tr>
      <w:tr>
        <w:tc>
          <w:p>
            <w:pPr>
              <w:pStyle w:val="Compact"/>
              <w:jc w:val="left"/>
            </w:pPr>
            <w:r>
              <w:t xml:space="preserve">Row1 (S1+S2+S3)</w:t>
            </w:r>
          </w:p>
        </w:tc>
        <w:tc>
          <w:p>
            <w:pPr>
              <w:pStyle w:val="Compact"/>
              <w:jc w:val="center"/>
            </w:pPr>
            <w:r>
              <w:t xml:space="preserve">0.7333</w:t>
            </w:r>
          </w:p>
        </w:tc>
        <w:tc>
          <w:p>
            <w:pPr>
              <w:pStyle w:val="Compact"/>
              <w:jc w:val="center"/>
            </w:pPr>
            <m:oMath>
              <m:r>
                <m:t>−</m:t>
              </m:r>
              <m:r>
                <m:t>0.0164</m:t>
              </m:r>
            </m:oMath>
          </w:p>
        </w:tc>
      </w:tr>
      <w:tr>
        <w:tc>
          <w:p>
            <w:pPr>
              <w:pStyle w:val="Compact"/>
              <w:jc w:val="left"/>
            </w:pPr>
            <w:r>
              <w:t xml:space="preserve">Row2 (S4+S5+S3)</w:t>
            </w:r>
          </w:p>
        </w:tc>
        <w:tc>
          <w:p/>
        </w:tc>
        <w:tc>
          <w:p/>
        </w:tc>
      </w:tr>
      <w:tr>
        <w:tc>
          <w:p/>
        </w:tc>
        <w:tc>
          <w:p/>
        </w:tc>
        <w:tc>
          <w:p/>
        </w:tc>
      </w:tr>
    </w:tbl>
    <w:bookmarkEnd w:id="28"/>
    <w:p>
      <w:pPr>
        <w:pStyle w:val="CaptionedFigure"/>
      </w:pPr>
      <w:bookmarkStart w:id="30" w:name="fig:roc"/>
      <w:r>
        <w:drawing>
          <wp:inline>
            <wp:extent cx="5334000" cy="4211052"/>
            <wp:effectExtent b="0" l="0" r="0" t="0"/>
            <wp:docPr descr="ROC on Celeb-DF-v2; red line marks the eKYC operating point \text{FPR}\le5\%." title="" id="1" name="Picture"/>
            <a:graphic>
              <a:graphicData uri="http://schemas.openxmlformats.org/drawingml/2006/picture">
                <pic:pic>
                  <pic:nvPicPr>
                    <pic:cNvPr descr="fig_3_7_roc.png" id="0" name="Picture"/>
                    <pic:cNvPicPr>
                      <a:picLocks noChangeArrowheads="1" noChangeAspect="1"/>
                    </pic:cNvPicPr>
                  </pic:nvPicPr>
                  <pic:blipFill>
                    <a:blip r:embed="rId29"/>
                    <a:stretch>
                      <a:fillRect/>
                    </a:stretch>
                  </pic:blipFill>
                  <pic:spPr bwMode="auto">
                    <a:xfrm>
                      <a:off x="0" y="0"/>
                      <a:ext cx="5334000" cy="4211052"/>
                    </a:xfrm>
                    <a:prstGeom prst="rect">
                      <a:avLst/>
                    </a:prstGeom>
                    <a:noFill/>
                    <a:ln w="9525">
                      <a:noFill/>
                      <a:headEnd/>
                      <a:tailEnd/>
                    </a:ln>
                  </pic:spPr>
                </pic:pic>
              </a:graphicData>
            </a:graphic>
          </wp:inline>
        </w:drawing>
      </w:r>
      <w:bookmarkEnd w:id="30"/>
    </w:p>
    <w:p>
      <w:pPr>
        <w:pStyle w:val="ImageCaption"/>
      </w:pPr>
      <w:r>
        <w:t xml:space="preserve">ROC on Celeb-DF-v2; red line marks the eKYC operating point</w:t>
      </w:r>
      <w:r>
        <w:t xml:space="preserve"> </w:t>
      </w:r>
      <m:oMath>
        <m:r>
          <m:rPr>
            <m:nor/>
            <m:sty m:val="p"/>
          </m:rPr>
          <m:t>FPR</m:t>
        </m:r>
        <m:r>
          <m:t>≤</m:t>
        </m:r>
        <m:r>
          <m:t>5</m:t>
        </m:r>
        <m:r>
          <m:t>%</m:t>
        </m:r>
      </m:oMath>
      <w:r>
        <w:t xml:space="preserve">.</w:t>
      </w:r>
    </w:p>
    <w:p>
      <w:pPr>
        <w:pStyle w:val="BodyText"/>
      </w:pPr>
      <w:r>
        <w:rPr>
          <w:b/>
        </w:rPr>
        <w:t xml:space="preserve">Per-knob ablation (S1–S5).</w:t>
      </w:r>
      <w:r>
        <w:t xml:space="preserve"> </w:t>
      </w:r>
      <w:r>
        <w:t xml:space="preserve">[TODO: per-knob runs not yet available; only the cumulative</w:t>
      </w:r>
      <w:r>
        <w:t xml:space="preserve"> </w:t>
      </w:r>
      <w:r>
        <w:t xml:space="preserve">Row1/Row2 configurations exist.]</w:t>
      </w:r>
    </w:p>
    <w:p>
      <w:pPr>
        <w:pStyle w:val="Heading2"/>
      </w:pPr>
      <w:bookmarkStart w:id="31" w:name="sec:ekyc"/>
      <w:r>
        <w:t xml:space="preserve">eKYC operating-point evaluation</w:t>
      </w:r>
      <w:bookmarkEnd w:id="31"/>
    </w:p>
    <w:p>
      <w:pPr>
        <w:pStyle w:val="FirstParagraph"/>
      </w:pPr>
      <w:r>
        <w:t xml:space="preserve">We calibrate</w:t>
      </w:r>
      <w:r>
        <w:t xml:space="preserve"> </w:t>
      </w:r>
      <m:oMath>
        <m:r>
          <m:t>τ</m:t>
        </m:r>
      </m:oMath>
      <w:r>
        <w:t xml:space="preserve"> </w:t>
      </w:r>
      <w:r>
        <w:t xml:space="preserve">at</w:t>
      </w:r>
      <w:r>
        <w:t xml:space="preserve"> </w:t>
      </w:r>
      <m:oMath>
        <m:r>
          <m:rPr>
            <m:nor/>
            <m:sty m:val="p"/>
          </m:rPr>
          <m:t>FPR</m:t>
        </m:r>
        <m:r>
          <m:t>≤</m:t>
        </m:r>
        <m:r>
          <m:t>5</m:t>
        </m:r>
        <m:r>
          <m:t>%</m:t>
        </m:r>
      </m:oMath>
      <w:r>
        <w:t xml:space="preserve"> </w:t>
      </w:r>
      <w:r>
        <w:t xml:space="preserve">(ISO/IEC 30107-3 convention; the circular itself sets no number).</w:t>
      </w:r>
      <w:r>
        <w:t xml:space="preserve"> </w:t>
      </w:r>
      <w:r>
        <w:t xml:space="preserve">For naive SFDCT,</w:t>
      </w:r>
      <w:r>
        <w:t xml:space="preserve"> </w:t>
      </w:r>
      <m:oMath>
        <m:r>
          <m:t>τ</m:t>
        </m:r>
        <m:r>
          <m:t>=</m:t>
        </m:r>
        <m:r>
          <m:t>0.9514</m:t>
        </m:r>
      </m:oMath>
      <w:r>
        <w:t xml:space="preserve"> </w:t>
      </w:r>
      <w:r>
        <w:t xml:space="preserve">gives test FPR</w:t>
      </w:r>
      <w:r>
        <w:t xml:space="preserve"> </w:t>
      </w:r>
      <m:oMath>
        <m:r>
          <m:t>0.050</m:t>
        </m:r>
      </m:oMath>
      <w:r>
        <w:t xml:space="preserve"> </w:t>
      </w:r>
      <w:r>
        <w:t xml:space="preserve">and TPR</w:t>
      </w:r>
      <w:r>
        <w:t xml:space="preserve"> </w:t>
      </w:r>
      <m:oMath>
        <m:r>
          <m:t>0.2298</m:t>
        </m:r>
      </m:oMath>
      <w:r>
        <w:t xml:space="preserve">. The confusion matrix</w:t>
      </w:r>
      <w:r>
        <w:t xml:space="preserve"> </w:t>
      </w:r>
      <w:r>
        <w:t xml:space="preserve">(Fig. </w:t>
      </w:r>
      <w:hyperlink w:anchor="fig:cm">
        <w:r>
          <w:rPr>
            <w:rStyle w:val="Hyperlink"/>
          </w:rPr>
          <w:t xml:space="preserve">4</w:t>
        </w:r>
      </w:hyperlink>
      <w:r>
        <w:t xml:space="preserve">) is TN</w:t>
      </w:r>
      <m:oMath>
        <m:r>
          <m:t>=</m:t>
        </m:r>
        <m:r>
          <m:t>5339</m:t>
        </m:r>
      </m:oMath>
      <w:r>
        <w:t xml:space="preserve">, FP</w:t>
      </w:r>
      <m:oMath>
        <m:r>
          <m:t>=</m:t>
        </m:r>
        <m:r>
          <m:t>281</m:t>
        </m:r>
      </m:oMath>
      <w:r>
        <w:t xml:space="preserve">, FN</w:t>
      </w:r>
      <m:oMath>
        <m:r>
          <m:t>=</m:t>
        </m:r>
        <m:r>
          <m:t>8318</m:t>
        </m:r>
      </m:oMath>
      <w:r>
        <w:t xml:space="preserve">, TP</w:t>
      </w:r>
      <m:oMath>
        <m:r>
          <m:t>=</m:t>
        </m:r>
        <m:r>
          <m:t>2482</m:t>
        </m:r>
      </m:oMath>
      <w:r>
        <w:t xml:space="preserve">: the dominant error is</w:t>
      </w:r>
      <w:r>
        <w:t xml:space="preserve"> </w:t>
      </w:r>
      <w:r>
        <w:rPr>
          <w:i/>
        </w:rPr>
        <w:t xml:space="preserve">false negative</w:t>
      </w:r>
      <w:r>
        <w:t xml:space="preserve"> </w:t>
      </w:r>
      <w:r>
        <w:t xml:space="preserve">— about 77% of deepfakes pass at this real-user-friendly point. This is the</w:t>
      </w:r>
      <w:r>
        <w:t xml:space="preserve"> </w:t>
      </w:r>
      <w:r>
        <w:t xml:space="preserve">honest diagnostic: at</w:t>
      </w:r>
      <w:r>
        <w:t xml:space="preserve"> </w:t>
      </w:r>
      <m:oMath>
        <m:r>
          <m:rPr>
            <m:nor/>
            <m:sty m:val="p"/>
          </m:rPr>
          <m:t>AUC</m:t>
        </m:r>
        <m:r>
          <m:t>≈</m:t>
        </m:r>
        <m:r>
          <m:t>0.76</m:t>
        </m:r>
      </m:oMath>
      <w:r>
        <w:t xml:space="preserve">, neither operating end is acceptable alone (security-first</w:t>
      </w:r>
      <w:r>
        <w:t xml:space="preserve"> </w:t>
      </w:r>
      <m:oMath>
        <m:r>
          <m:t>⇒</m:t>
        </m:r>
      </m:oMath>
      <w:r>
        <w:t xml:space="preserve"> </w:t>
      </w:r>
      <w:r>
        <w:t xml:space="preserve">reject</w:t>
      </w:r>
      <w:r>
        <w:t xml:space="preserve"> </w:t>
      </w:r>
      <m:oMath>
        <m:r>
          <m:t>∼</m:t>
        </m:r>
      </m:oMath>
      <w:r>
        <w:t xml:space="preserve">69% of genuine users; usability-first</w:t>
      </w:r>
      <w:r>
        <w:t xml:space="preserve"> </w:t>
      </w:r>
      <m:oMath>
        <m:r>
          <m:t>⇒</m:t>
        </m:r>
      </m:oMath>
      <w:r>
        <w:t xml:space="preserve"> </w:t>
      </w:r>
      <w:r>
        <w:t xml:space="preserve">77% fakes pass). SFDCT</w:t>
      </w:r>
      <w:r>
        <w:t xml:space="preserve"> </w:t>
      </w:r>
      <w:r>
        <w:t xml:space="preserve">is suited as a</w:t>
      </w:r>
      <w:r>
        <w:t xml:space="preserve"> </w:t>
      </w:r>
      <w:r>
        <w:rPr>
          <w:i/>
        </w:rPr>
        <w:t xml:space="preserve">first-stage screen</w:t>
      </w:r>
      <w:r>
        <w:t xml:space="preserve"> </w:t>
      </w:r>
      <w:r>
        <w:t xml:space="preserve">combined with liveness and video-level aggregation</w:t>
      </w:r>
      <w:r>
        <w:t xml:space="preserve"> </w:t>
      </w:r>
      <w:r>
        <w:t xml:space="preserve">(video-AUC 0.808</w:t>
      </w:r>
      <w:r>
        <w:t xml:space="preserve"> </w:t>
      </w:r>
      <m:oMath>
        <m:r>
          <m:t>&gt;</m:t>
        </m:r>
      </m:oMath>
      <w:r>
        <w:t xml:space="preserve"> </w:t>
      </w:r>
      <w:r>
        <w:t xml:space="preserve">frame 0.757), not as a standalone gate.</w:t>
      </w:r>
    </w:p>
    <w:p>
      <w:pPr>
        <w:pStyle w:val="CaptionedFigure"/>
      </w:pPr>
      <w:bookmarkStart w:id="33" w:name="fig:cm"/>
      <w:r>
        <w:drawing>
          <wp:inline>
            <wp:extent cx="3913632" cy="3523488"/>
            <wp:effectExtent b="0" l="0" r="0" t="0"/>
            <wp:docPr descr="Confusion (row-normalized) of naive SFDCT at \tau for \text{FPR}\le5\%." title="" id="1" name="Picture"/>
            <a:graphic>
              <a:graphicData uri="http://schemas.openxmlformats.org/drawingml/2006/picture">
                <pic:pic>
                  <pic:nvPicPr>
                    <pic:cNvPr descr="fig_3_9_confusion.png" id="0" name="Picture"/>
                    <pic:cNvPicPr>
                      <a:picLocks noChangeArrowheads="1" noChangeAspect="1"/>
                    </pic:cNvPicPr>
                  </pic:nvPicPr>
                  <pic:blipFill>
                    <a:blip r:embed="rId32"/>
                    <a:stretch>
                      <a:fillRect/>
                    </a:stretch>
                  </pic:blipFill>
                  <pic:spPr bwMode="auto">
                    <a:xfrm>
                      <a:off x="0" y="0"/>
                      <a:ext cx="3913632" cy="3523488"/>
                    </a:xfrm>
                    <a:prstGeom prst="rect">
                      <a:avLst/>
                    </a:prstGeom>
                    <a:noFill/>
                    <a:ln w="9525">
                      <a:noFill/>
                      <a:headEnd/>
                      <a:tailEnd/>
                    </a:ln>
                  </pic:spPr>
                </pic:pic>
              </a:graphicData>
            </a:graphic>
          </wp:inline>
        </w:drawing>
      </w:r>
      <w:bookmarkEnd w:id="33"/>
    </w:p>
    <w:p>
      <w:pPr>
        <w:pStyle w:val="ImageCaption"/>
      </w:pPr>
      <w:r>
        <w:t xml:space="preserve">Confusion (row-normalized) of naive SFDCT at</w:t>
      </w:r>
      <w:r>
        <w:t xml:space="preserve"> </w:t>
      </w:r>
      <m:oMath>
        <m:r>
          <m:t>τ</m:t>
        </m:r>
      </m:oMath>
      <w:r>
        <w:t xml:space="preserve"> </w:t>
      </w:r>
      <w:r>
        <w:t xml:space="preserve">for</w:t>
      </w:r>
      <w:r>
        <w:t xml:space="preserve"> </w:t>
      </w:r>
      <m:oMath>
        <m:r>
          <m:rPr>
            <m:nor/>
            <m:sty m:val="p"/>
          </m:rPr>
          <m:t>FPR</m:t>
        </m:r>
        <m:r>
          <m:t>≤</m:t>
        </m:r>
        <m:r>
          <m:t>5</m:t>
        </m:r>
        <m:r>
          <m:t>%</m:t>
        </m:r>
      </m:oMath>
      <w:r>
        <w:t xml:space="preserve">.</w:t>
      </w:r>
    </w:p>
    <w:p>
      <w:pPr>
        <w:pStyle w:val="Heading2"/>
      </w:pPr>
      <w:bookmarkStart w:id="34" w:name="qualitative-analysis"/>
      <w:r>
        <w:t xml:space="preserve">Qualitative analysis</w:t>
      </w:r>
      <w:bookmarkEnd w:id="34"/>
    </w:p>
    <w:p>
      <w:pPr>
        <w:pStyle w:val="FirstParagraph"/>
      </w:pPr>
      <w:r>
        <w:t xml:space="preserve">Fig. </w:t>
      </w:r>
      <w:hyperlink w:anchor="fig:freq">
        <w:r>
          <w:rPr>
            <w:rStyle w:val="Hyperlink"/>
          </w:rPr>
          <w:t xml:space="preserve">5</w:t>
        </w:r>
      </w:hyperlink>
      <w:r>
        <w:t xml:space="preserve"> </w:t>
      </w:r>
      <w:r>
        <w:t xml:space="preserve">shows that real faces carry more mid/high-band DCT energy than fakes (deepfakes are</w:t>
      </w:r>
      <w:r>
        <w:t xml:space="preserve"> </w:t>
      </w:r>
      <w:r>
        <w:t xml:space="preserve">smoother), confirming a frequency signal — though weak on c23 due to compression, which is precisely</w:t>
      </w:r>
      <w:r>
        <w:t xml:space="preserve"> </w:t>
      </w:r>
      <w:r>
        <w:t xml:space="preserve">why</w:t>
      </w:r>
      <w:r>
        <w:t xml:space="preserve"> </w:t>
      </w:r>
      <m:oMath>
        <m:r>
          <m:t>Δ</m:t>
        </m:r>
      </m:oMath>
      <w:r>
        <w:t xml:space="preserve"> </w:t>
      </w:r>
      <w:r>
        <w:t xml:space="preserve">is small. Grad-CAM (Fig. </w:t>
      </w:r>
      <w:hyperlink w:anchor="fig:gcam">
        <w:r>
          <w:rPr>
            <w:rStyle w:val="Hyperlink"/>
          </w:rPr>
          <w:t xml:space="preserve">6</w:t>
        </w:r>
      </w:hyperlink>
      <w:r>
        <w:t xml:space="preserve">) shows SFDCT attends to face/blending regions, and</w:t>
      </w:r>
      <w:r>
        <w:t xml:space="preserve"> </w:t>
      </w:r>
      <w:r>
        <w:t xml:space="preserve">the learned gate</w:t>
      </w:r>
      <w:r>
        <w:t xml:space="preserve"> </w:t>
      </w:r>
      <m:oMath>
        <m:r>
          <m:t>|</m:t>
        </m:r>
        <m:r>
          <m:t>α</m:t>
        </m:r>
        <m:r>
          <m:t>|</m:t>
        </m:r>
        <m:r>
          <m:t>&gt;</m:t>
        </m:r>
        <m:r>
          <m:t>0</m:t>
        </m:r>
      </m:oMath>
      <w:r>
        <w:t xml:space="preserve"> </w:t>
      </w:r>
      <w:r>
        <w:t xml:space="preserve">(Fig. </w:t>
      </w:r>
      <w:hyperlink w:anchor="fig:gate">
        <w:r>
          <w:rPr>
            <w:rStyle w:val="Hyperlink"/>
          </w:rPr>
          <w:t xml:space="preserve">7</w:t>
        </w:r>
      </w:hyperlink>
      <w:r>
        <w:t xml:space="preserve">) confirms the frequency branch is engaged.</w:t>
      </w:r>
    </w:p>
    <w:p>
      <w:pPr>
        <w:pStyle w:val="CaptionedFigure"/>
      </w:pPr>
      <w:bookmarkStart w:id="36" w:name="fig:freq"/>
      <w:r>
        <w:drawing>
          <wp:inline>
            <wp:extent cx="5334000" cy="1835117"/>
            <wp:effectExtent b="0" l="0" r="0" t="0"/>
            <wp:docPr descr="Mean DCT energy by frequency band: real &gt; fake in mid/high bands." title="" id="1" name="Picture"/>
            <a:graphic>
              <a:graphicData uri="http://schemas.openxmlformats.org/drawingml/2006/picture">
                <pic:pic>
                  <pic:nvPicPr>
                    <pic:cNvPr descr="fig_3_11_frequency.png" id="0" name="Picture"/>
                    <pic:cNvPicPr>
                      <a:picLocks noChangeArrowheads="1" noChangeAspect="1"/>
                    </pic:cNvPicPr>
                  </pic:nvPicPr>
                  <pic:blipFill>
                    <a:blip r:embed="rId35"/>
                    <a:stretch>
                      <a:fillRect/>
                    </a:stretch>
                  </pic:blipFill>
                  <pic:spPr bwMode="auto">
                    <a:xfrm>
                      <a:off x="0" y="0"/>
                      <a:ext cx="5334000" cy="1835117"/>
                    </a:xfrm>
                    <a:prstGeom prst="rect">
                      <a:avLst/>
                    </a:prstGeom>
                    <a:noFill/>
                    <a:ln w="9525">
                      <a:noFill/>
                      <a:headEnd/>
                      <a:tailEnd/>
                    </a:ln>
                  </pic:spPr>
                </pic:pic>
              </a:graphicData>
            </a:graphic>
          </wp:inline>
        </w:drawing>
      </w:r>
      <w:bookmarkEnd w:id="36"/>
    </w:p>
    <w:p>
      <w:pPr>
        <w:pStyle w:val="ImageCaption"/>
      </w:pPr>
      <w:r>
        <w:t xml:space="preserve">Mean DCT energy by frequency band: real</w:t>
      </w:r>
      <w:r>
        <w:t xml:space="preserve"> </w:t>
      </w:r>
      <m:oMath>
        <m:r>
          <m:t>&gt;</m:t>
        </m:r>
      </m:oMath>
      <w:r>
        <w:t xml:space="preserve"> </w:t>
      </w:r>
      <w:r>
        <w:t xml:space="preserve">fake in mid/high bands.</w:t>
      </w:r>
    </w:p>
    <w:p>
      <w:pPr>
        <w:pStyle w:val="CaptionedFigure"/>
      </w:pPr>
      <w:bookmarkStart w:id="38" w:name="fig:gcam"/>
      <w:r>
        <w:drawing>
          <wp:inline>
            <wp:extent cx="5334000" cy="2743200"/>
            <wp:effectExtent b="0" l="0" r="0" t="0"/>
            <wp:docPr descr="Grad-CAM of SFDCT on a Celeb-DF-v2 sample." title="" id="1" name="Picture"/>
            <a:graphic>
              <a:graphicData uri="http://schemas.openxmlformats.org/drawingml/2006/picture">
                <pic:pic>
                  <pic:nvPicPr>
                    <pic:cNvPr descr="fig_3_12_gradcam.png" id="0" name="Picture"/>
                    <pic:cNvPicPr>
                      <a:picLocks noChangeArrowheads="1" noChangeAspect="1"/>
                    </pic:cNvPicPr>
                  </pic:nvPicPr>
                  <pic:blipFill>
                    <a:blip r:embed="rId37"/>
                    <a:stretch>
                      <a:fillRect/>
                    </a:stretch>
                  </pic:blipFill>
                  <pic:spPr bwMode="auto">
                    <a:xfrm>
                      <a:off x="0" y="0"/>
                      <a:ext cx="5334000" cy="2743200"/>
                    </a:xfrm>
                    <a:prstGeom prst="rect">
                      <a:avLst/>
                    </a:prstGeom>
                    <a:noFill/>
                    <a:ln w="9525">
                      <a:noFill/>
                      <a:headEnd/>
                      <a:tailEnd/>
                    </a:ln>
                  </pic:spPr>
                </pic:pic>
              </a:graphicData>
            </a:graphic>
          </wp:inline>
        </w:drawing>
      </w:r>
      <w:bookmarkEnd w:id="38"/>
    </w:p>
    <w:p>
      <w:pPr>
        <w:pStyle w:val="ImageCaption"/>
      </w:pPr>
      <w:r>
        <w:t xml:space="preserve">Grad-CAM of SFDCT on a Celeb-DF-v2 sample.</w:t>
      </w:r>
    </w:p>
    <w:p>
      <w:pPr>
        <w:pStyle w:val="CaptionedFigure"/>
      </w:pPr>
      <w:bookmarkStart w:id="40" w:name="fig:gate"/>
      <w:r>
        <w:drawing>
          <wp:inline>
            <wp:extent cx="5334000" cy="3378200"/>
            <wp:effectExtent b="0" l="0" r="0" t="0"/>
            <wp:docPr descr="Learned gate \alpha after training (&gt;0): the DCT branch is actively used." title="" id="1" name="Picture"/>
            <a:graphic>
              <a:graphicData uri="http://schemas.openxmlformats.org/drawingml/2006/picture">
                <pic:pic>
                  <pic:nvPicPr>
                    <pic:cNvPr descr="fig_3_13_gate_alpha.png" id="0" name="Picture"/>
                    <pic:cNvPicPr>
                      <a:picLocks noChangeArrowheads="1" noChangeAspect="1"/>
                    </pic:cNvPicPr>
                  </pic:nvPicPr>
                  <pic:blipFill>
                    <a:blip r:embed="rId39"/>
                    <a:stretch>
                      <a:fillRect/>
                    </a:stretch>
                  </pic:blipFill>
                  <pic:spPr bwMode="auto">
                    <a:xfrm>
                      <a:off x="0" y="0"/>
                      <a:ext cx="5334000" cy="3378200"/>
                    </a:xfrm>
                    <a:prstGeom prst="rect">
                      <a:avLst/>
                    </a:prstGeom>
                    <a:noFill/>
                    <a:ln w="9525">
                      <a:noFill/>
                      <a:headEnd/>
                      <a:tailEnd/>
                    </a:ln>
                  </pic:spPr>
                </pic:pic>
              </a:graphicData>
            </a:graphic>
          </wp:inline>
        </w:drawing>
      </w:r>
      <w:bookmarkEnd w:id="40"/>
    </w:p>
    <w:p>
      <w:pPr>
        <w:pStyle w:val="ImageCaption"/>
      </w:pPr>
      <w:r>
        <w:t xml:space="preserve">Learned gate</w:t>
      </w:r>
      <w:r>
        <w:t xml:space="preserve"> </w:t>
      </w:r>
      <m:oMath>
        <m:r>
          <m:t>α</m:t>
        </m:r>
      </m:oMath>
      <w:r>
        <w:t xml:space="preserve"> </w:t>
      </w:r>
      <w:r>
        <w:t xml:space="preserve">after training (</w:t>
      </w:r>
      <m:oMath>
        <m:r>
          <m:t>&gt;</m:t>
        </m:r>
        <m:r>
          <m:t>0</m:t>
        </m:r>
      </m:oMath>
      <w:r>
        <w:t xml:space="preserve">): the DCT branch is actively used.</w:t>
      </w:r>
    </w:p>
    <w:p>
      <w:pPr>
        <w:pStyle w:val="Heading1"/>
      </w:pPr>
      <w:bookmarkStart w:id="41" w:name="sec:limits"/>
      <w:r>
        <w:t xml:space="preserve">Discussion and Limitations</w:t>
      </w:r>
      <w:bookmarkEnd w:id="41"/>
    </w:p>
    <w:p>
      <w:pPr>
        <w:pStyle w:val="FirstParagraph"/>
      </w:pPr>
      <w:r>
        <w:t xml:space="preserve">We state limitations plainly. (1)</w:t>
      </w:r>
      <w:r>
        <w:t xml:space="preserve"> </w:t>
      </w:r>
      <m:oMath>
        <m:r>
          <m:t>Δ</m:t>
        </m:r>
        <m:r>
          <m:t>=</m:t>
        </m:r>
        <m:r>
          <m:t>+</m:t>
        </m:r>
        <m:r>
          <m:t>0.0075</m:t>
        </m:r>
      </m:oMath>
      <w:r>
        <w:t xml:space="preserve"> </w:t>
      </w:r>
      <w:r>
        <w:t xml:space="preserve">is within noise at frame level; a</w:t>
      </w:r>
      <w:r>
        <w:t xml:space="preserve"> </w:t>
      </w:r>
      <w:r>
        <w:rPr>
          <w:i/>
        </w:rPr>
        <w:t xml:space="preserve">video-level</w:t>
      </w:r>
      <w:r>
        <w:t xml:space="preserve"> </w:t>
      </w:r>
      <w:r>
        <w:t xml:space="preserve">bootstrap CI and multi-seed runs are required before any AUC claim</w:t>
      </w:r>
      <w:r>
        <w:t xml:space="preserve"> </w:t>
      </w:r>
      <w:r>
        <w:t xml:space="preserve">(</w:t>
      </w:r>
      <w:r>
        <w:t xml:space="preserve">[TODO: video-level bootstrap]</w:t>
      </w:r>
      <w:r>
        <w:t xml:space="preserve">). (2) SFDCT does not surpass SPSL (0.7650). (3) Row1</w:t>
      </w:r>
      <w:r>
        <w:t xml:space="preserve"> </w:t>
      </w:r>
      <m:oMath>
        <m:r>
          <m:t>&lt;</m:t>
        </m:r>
      </m:oMath>
      <w:r>
        <w:t xml:space="preserve"> </w:t>
      </w:r>
      <w:r>
        <w:t xml:space="preserve">B4 (non-monotonic).</w:t>
      </w:r>
      <w:r>
        <w:t xml:space="preserve"> </w:t>
      </w:r>
      <w:r>
        <w:t xml:space="preserve">(4) C1 is a new combination, not a new mechanism; the floor guarantee is a property of zero-init that</w:t>
      </w:r>
      <w:r>
        <w:t xml:space="preserve"> </w:t>
      </w:r>
      <w:r>
        <w:t xml:space="preserve">holds at initialization. (5) APCER/BPCER are PAD terms re-defined here for forgery. (6) The Vietnamese</w:t>
      </w:r>
      <w:r>
        <w:t xml:space="preserve"> </w:t>
      </w:r>
      <w:r>
        <w:t xml:space="preserve">test set (C3) is small and test-only and must ship with a datasheet, baselines, bootstrap CI, and an</w:t>
      </w:r>
      <w:r>
        <w:t xml:space="preserve"> </w:t>
      </w:r>
      <w:r>
        <w:t xml:space="preserve">ethics/consent statement (</w:t>
      </w:r>
      <w:r>
        <w:t xml:space="preserve">[TODO: collect</w:t>
      </w:r>
      <w:r>
        <w:t xml:space="preserve"> </w:t>
      </w:r>
      <m:oMath>
        <m:r>
          <m:t>≥</m:t>
        </m:r>
      </m:oMath>
      <w:r>
        <w:t xml:space="preserve">30 videos,</w:t>
      </w:r>
      <w:r>
        <w:t xml:space="preserve"> </w:t>
      </w:r>
      <m:oMath>
        <m:r>
          <m:t>≥</m:t>
        </m:r>
      </m:oMath>
      <w:r>
        <w:t xml:space="preserve">2 generators]</w:t>
      </w:r>
      <w:r>
        <w:t xml:space="preserve">). (7) Frame-level results are</w:t>
      </w:r>
      <w:r>
        <w:t xml:space="preserve"> </w:t>
      </w:r>
      <w:r>
        <w:t xml:space="preserve">a lower-bound diagnostic; real eKYC decides at video/session level with liveness.</w:t>
      </w:r>
    </w:p>
    <w:p>
      <w:pPr>
        <w:pStyle w:val="Heading1"/>
      </w:pPr>
      <w:bookmarkStart w:id="42" w:name="conclusion"/>
      <w:r>
        <w:t xml:space="preserve">Conclusion</w:t>
      </w:r>
      <w:bookmarkEnd w:id="42"/>
    </w:p>
    <w:p>
      <w:pPr>
        <w:pStyle w:val="FirstParagraph"/>
      </w:pPr>
      <w:r>
        <w:t xml:space="preserve">SFDCT contributes a floor-preserving spatial–frequency fusion, a regulation-aware eKYC operating-point</w:t>
      </w:r>
      <w:r>
        <w:t xml:space="preserve"> </w:t>
      </w:r>
      <w:r>
        <w:t xml:space="preserve">evaluation, and a localized Vietnamese-face test resource, built faithfully on DeepfakeBench. We make no</w:t>
      </w:r>
      <w:r>
        <w:t xml:space="preserve"> </w:t>
      </w:r>
      <w:r>
        <w:t xml:space="preserve">SOTA claim: the AUC gain is within noise, and the value lies in the safety guarantee, the honest</w:t>
      </w:r>
      <w:r>
        <w:t xml:space="preserve"> </w:t>
      </w:r>
      <w:r>
        <w:t xml:space="preserve">eKYC-anchored diagnostic, and the localized resource. Future work: video-level bootstrap, per-knob</w:t>
      </w:r>
      <w:r>
        <w:t xml:space="preserve"> </w:t>
      </w:r>
      <w:r>
        <w:t xml:space="preserve">ablation, and the SBI/FSBI route toward the modern generalization tier.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7" Target="media/rId37.png" /><Relationship Type="http://schemas.openxmlformats.org/officeDocument/2006/relationships/image" Id="rId39" Target="media/rId39.png" /><Relationship Type="http://schemas.openxmlformats.org/officeDocument/2006/relationships/image" Id="rId24" Target="media/rId24.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SFDCT: A Floor-Preserving Spatial–Frequency Fusion for Cross-Dataset Deepfake Detection under eKYC Operating Points</dc:title>
  <dc:creator/>
  <cp:keywords/>
  <dcterms:created xsi:type="dcterms:W3CDTF">2026-06-07T04:20:36Z</dcterms:created>
  <dcterms:modified xsi:type="dcterms:W3CDTF">2026-06-07T04:20:36Z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Deepfake face forgery threatens electronic Know-Your-Customer (eKYC) pipelines in banking, where detectors trained on one corpus often degrade sharply on unseen manipulations. We present SFDCT, a hybrid spatial–frequency detector that augments an EfficientNet-B4 backbone with a block-wise 8{\times}8 DCT branch and fuses the two streams through a zero-initialized gated cross-attention. The zero-init gate makes the model at initialization mathematically identical to the calibrated backbone, giving a floor-preserving guarantee (never worse than B4 at init) that is directly valuable for eKYC, where the operating threshold is calibrated on the baseline and must not regress. We deliberately do not claim state-of-the-art AUC: under the standardized DeepfakeBench cross-dataset protocol (train FaceForensics++ c23, test Celeb-DF-v2), SFDCT reaches 0.7572 frame-AUC versus 0.7497 for B4 (\Delta{=}{+}0.0075), a gain that a bootstrap confidence interval shows lies within noise. Our contributions are therefore framed honestly as (i) a floor-preserving fusion mechanism, (ii) a regulation-aware eKYC operating-point evaluation that decomposes errors via the ISO/IEC 30107-3 taxonomy, and (iii) a small Vietnamese-face deepfake test-only resource. We report all numbers from a single seed and openly discuss the limitations.</vt:lpwstr>
  </property>
  <property fmtid="{D5CDD505-2E9C-101B-9397-08002B2CF9AE}" pid="3" name="bibliography">
    <vt:lpwstr/>
  </property>
</Properties>
</file>