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UFCEP6-0-3 - Sprint 02</w:t>
        <w:br/>
        <w:t>Strengths and Weaknesses of the Developed BPM</w:t>
      </w:r>
    </w:p>
    <w:p>
      <w:pPr>
        <w:jc w:val="center"/>
      </w:pPr>
      <w:r>
        <w:rPr>
          <w:rFonts w:ascii="Arial" w:hAnsi="Arial"/>
          <w:b/>
          <w:sz w:val="22"/>
        </w:rPr>
        <w:t>Hospital Patient Referral, Treatment and Administration System</w:t>
      </w:r>
    </w:p>
    <w:p>
      <w:r>
        <w:rPr>
          <w:b/>
        </w:rPr>
        <w:t xml:space="preserve">Purpose: </w:t>
      </w:r>
      <w:r>
        <w:t>To discuss the strengths and weaknesses identified in the developed BPM for Sprint 02. The evaluation is based on the current integrated BPMN covering Referral, Appointment, Treatment, Funding/Payment/Refund, and Enquiry/Clinic Letter/Monitoring.</w:t>
      </w:r>
    </w:p>
    <w:p>
      <w:pPr>
        <w:pStyle w:val="Heading1"/>
      </w:pPr>
      <w:r>
        <w:t>1. Strengths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rFonts w:ascii="Arial" w:hAnsi="Arial"/>
                <w:b/>
                <w:sz w:val="18"/>
              </w:rPr>
              <w:t>Strength</w:t>
            </w:r>
          </w:p>
        </w:tc>
        <w:tc>
          <w:tcPr>
            <w:tcW w:type="dxa" w:w="5112"/>
            <w:vAlign w:val="center"/>
            <w:shd w:fill="D9EAF7"/>
          </w:tcPr>
          <w:p>
            <w:r>
              <w:rPr>
                <w:rFonts w:ascii="Arial" w:hAnsi="Arial"/>
                <w:b/>
                <w:sz w:val="18"/>
              </w:rPr>
              <w:t>Evaluation</w:t>
            </w:r>
          </w:p>
        </w:tc>
      </w:tr>
      <w:tr>
        <w:tc>
          <w:tcPr>
            <w:tcW w:type="dxa" w:w="5112"/>
            <w:vAlign w:val="top"/>
          </w:tcPr>
          <w:p>
            <w:r>
              <w:rPr>
                <w:rFonts w:ascii="Arial" w:hAnsi="Arial"/>
                <w:sz w:val="18"/>
              </w:rPr>
              <w:t>Clear end-to-end process structure</w:t>
            </w:r>
          </w:p>
        </w:tc>
        <w:tc>
          <w:tcPr>
            <w:tcW w:type="dxa" w:w="5112"/>
            <w:vAlign w:val="top"/>
          </w:tcPr>
          <w:p>
            <w:r>
              <w:rPr>
                <w:rFonts w:ascii="Arial" w:hAnsi="Arial"/>
                <w:sz w:val="18"/>
              </w:rPr>
              <w:t>The BPM links the five core business areas in one integrated patient pathway: Referral &amp; Consultant Review -&gt; Appointment &amp; Patient Communication -&gt; Treatment &amp; Chemotherapy -&gt; Funding / Payment / Refund -&gt; Enquiry / Clinic Letter / Pathway Monitoring. This makes the main handovers and process dependencies visible.</w:t>
            </w:r>
          </w:p>
        </w:tc>
      </w:tr>
      <w:tr>
        <w:tc>
          <w:tcPr>
            <w:tcW w:type="dxa" w:w="5112"/>
            <w:vAlign w:val="top"/>
          </w:tcPr>
          <w:p>
            <w:r>
              <w:rPr>
                <w:rFonts w:ascii="Arial" w:hAnsi="Arial"/>
                <w:sz w:val="18"/>
              </w:rPr>
              <w:t>Clear responsibility allocation</w:t>
            </w:r>
          </w:p>
        </w:tc>
        <w:tc>
          <w:tcPr>
            <w:tcW w:type="dxa" w:w="5112"/>
            <w:vAlign w:val="top"/>
          </w:tcPr>
          <w:p>
            <w:r>
              <w:rPr>
                <w:rFonts w:ascii="Arial" w:hAnsi="Arial"/>
                <w:sz w:val="18"/>
              </w:rPr>
              <w:t>Hospital responsibilities are separated using lanes such as Medical Secretary, Consultant / Clinical Team, Outpatient Bookings, Treatment/Chemotherapy Bookings, Finance, and Call Handling / CNS / Pathway Coordination / Administrative Management. This reduces ambiguity about who performs each activity.</w:t>
            </w:r>
          </w:p>
        </w:tc>
      </w:tr>
      <w:tr>
        <w:tc>
          <w:tcPr>
            <w:tcW w:type="dxa" w:w="5112"/>
            <w:vAlign w:val="top"/>
          </w:tcPr>
          <w:p>
            <w:r>
              <w:rPr>
                <w:rFonts w:ascii="Arial" w:hAnsi="Arial"/>
                <w:sz w:val="18"/>
              </w:rPr>
              <w:t>External interactions are separated from the hospital process</w:t>
            </w:r>
          </w:p>
        </w:tc>
        <w:tc>
          <w:tcPr>
            <w:tcW w:type="dxa" w:w="5112"/>
            <w:vAlign w:val="top"/>
          </w:tcPr>
          <w:p>
            <w:r>
              <w:rPr>
                <w:rFonts w:ascii="Arial" w:hAnsi="Arial"/>
                <w:sz w:val="18"/>
              </w:rPr>
              <w:t>External organisations and services such as the Referring Organisation, Scheduling Service, Correspondence Service, Treatment/Lab/Imaging Services and Payment Service Provider are represented outside the hospital process boundary. This makes the system boundary and message/service dependencies clearer.</w:t>
            </w:r>
          </w:p>
        </w:tc>
      </w:tr>
      <w:tr>
        <w:tc>
          <w:tcPr>
            <w:tcW w:type="dxa" w:w="5112"/>
            <w:vAlign w:val="top"/>
          </w:tcPr>
          <w:p>
            <w:r>
              <w:rPr>
                <w:rFonts w:ascii="Arial" w:hAnsi="Arial"/>
                <w:sz w:val="18"/>
              </w:rPr>
              <w:t>Business rules and exception paths are represented</w:t>
            </w:r>
          </w:p>
        </w:tc>
        <w:tc>
          <w:tcPr>
            <w:tcW w:type="dxa" w:w="5112"/>
            <w:vAlign w:val="top"/>
          </w:tcPr>
          <w:p>
            <w:r>
              <w:rPr>
                <w:rFonts w:ascii="Arial" w:hAnsi="Arial"/>
                <w:sz w:val="18"/>
              </w:rPr>
              <w:t>The BPM includes important alternative and exception behaviour, including missing referral information, referral rejection or redirection, no suitable appointment slot, unsuccessful telephone contact, unavailable treatment resources, payment failure or lost confirmation, and delayed Clinic Letters.</w:t>
            </w:r>
          </w:p>
        </w:tc>
      </w:tr>
      <w:tr>
        <w:tc>
          <w:tcPr>
            <w:tcW w:type="dxa" w:w="5112"/>
            <w:vAlign w:val="top"/>
          </w:tcPr>
          <w:p>
            <w:r>
              <w:rPr>
                <w:rFonts w:ascii="Arial" w:hAnsi="Arial"/>
                <w:sz w:val="18"/>
              </w:rPr>
              <w:t>Clinical, administrative and financial authority are separated</w:t>
            </w:r>
          </w:p>
        </w:tc>
        <w:tc>
          <w:tcPr>
            <w:tcW w:type="dxa" w:w="5112"/>
            <w:vAlign w:val="top"/>
          </w:tcPr>
          <w:p>
            <w:r>
              <w:rPr>
                <w:rFonts w:ascii="Arial" w:hAnsi="Arial"/>
                <w:sz w:val="18"/>
              </w:rPr>
              <w:t>Clinical decisions remain with authorised clinical roles, appointment and correspondence administration remain with administrative roles, and funding/payment/refund actions remain with Finance. This reflects the authority boundaries in the case study.</w:t>
            </w:r>
          </w:p>
        </w:tc>
      </w:tr>
      <w:tr>
        <w:tc>
          <w:tcPr>
            <w:tcW w:type="dxa" w:w="5112"/>
            <w:vAlign w:val="top"/>
          </w:tcPr>
          <w:p>
            <w:r>
              <w:rPr>
                <w:rFonts w:ascii="Arial" w:hAnsi="Arial"/>
                <w:sz w:val="18"/>
              </w:rPr>
              <w:t>Executable implementation baseline is available</w:t>
            </w:r>
          </w:p>
        </w:tc>
        <w:tc>
          <w:tcPr>
            <w:tcW w:type="dxa" w:w="5112"/>
            <w:vAlign w:val="top"/>
          </w:tcPr>
          <w:p>
            <w:r>
              <w:rPr>
                <w:rFonts w:ascii="Arial" w:hAnsi="Arial"/>
                <w:sz w:val="18"/>
              </w:rPr>
              <w:t>The current 603 model is configured as an executable BPMN baseline and contains service-worker job types, form bindings and gateway conditions. This provides a direct path from the business model to Camunda execution and testing.</w:t>
            </w:r>
          </w:p>
        </w:tc>
      </w:tr>
    </w:tbl>
    <w:p/>
    <w:p>
      <w:pPr>
        <w:pStyle w:val="Heading1"/>
      </w:pPr>
      <w:r>
        <w:t>2. Weaknesses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FCE4D6"/>
          </w:tcPr>
          <w:p>
            <w:r>
              <w:rPr>
                <w:rFonts w:ascii="Arial" w:hAnsi="Arial"/>
                <w:b/>
                <w:sz w:val="18"/>
              </w:rPr>
              <w:t>Weakness</w:t>
            </w:r>
          </w:p>
        </w:tc>
        <w:tc>
          <w:tcPr>
            <w:tcW w:type="dxa" w:w="5112"/>
            <w:vAlign w:val="center"/>
            <w:shd w:fill="FCE4D6"/>
          </w:tcPr>
          <w:p>
            <w:r>
              <w:rPr>
                <w:rFonts w:ascii="Arial" w:hAnsi="Arial"/>
                <w:b/>
                <w:sz w:val="18"/>
              </w:rPr>
              <w:t>Evaluation / Impact</w:t>
            </w:r>
          </w:p>
        </w:tc>
      </w:tr>
      <w:tr>
        <w:tc>
          <w:tcPr>
            <w:tcW w:type="dxa" w:w="5112"/>
            <w:vAlign w:val="top"/>
          </w:tcPr>
          <w:p>
            <w:r>
              <w:rPr>
                <w:rFonts w:ascii="Arial" w:hAnsi="Arial"/>
                <w:sz w:val="18"/>
              </w:rPr>
              <w:t>The integrated BPM is visually complex</w:t>
            </w:r>
          </w:p>
        </w:tc>
        <w:tc>
          <w:tcPr>
            <w:tcW w:type="dxa" w:w="5112"/>
            <w:vAlign w:val="top"/>
          </w:tcPr>
          <w:p>
            <w:r>
              <w:rPr>
                <w:rFonts w:ascii="Arial" w:hAnsi="Arial"/>
                <w:sz w:val="18"/>
              </w:rPr>
              <w:t>Because many business areas, exception paths and external interactions are shown in one model, the total diagram is large and some sequence/message flows may cross. This can reduce readability during review or demonstration.</w:t>
            </w:r>
          </w:p>
        </w:tc>
      </w:tr>
      <w:tr>
        <w:tc>
          <w:tcPr>
            <w:tcW w:type="dxa" w:w="5112"/>
            <w:vAlign w:val="top"/>
          </w:tcPr>
          <w:p>
            <w:r>
              <w:rPr>
                <w:rFonts w:ascii="Arial" w:hAnsi="Arial"/>
                <w:sz w:val="18"/>
              </w:rPr>
              <w:t>Some business rules remain unspecified in the case study</w:t>
            </w:r>
          </w:p>
        </w:tc>
        <w:tc>
          <w:tcPr>
            <w:tcW w:type="dxa" w:w="5112"/>
            <w:vAlign w:val="top"/>
          </w:tcPr>
          <w:p>
            <w:r>
              <w:rPr>
                <w:rFonts w:ascii="Arial" w:hAnsi="Arial"/>
                <w:sz w:val="18"/>
              </w:rPr>
              <w:t>The exact urgent-referral criteria, urgent clinical-enquiry criteria, number of telephone attempts, and external-service retry/timeout rules are not fully defined. These require assumptions or tutor/stakeholder clarification.</w:t>
            </w:r>
          </w:p>
        </w:tc>
      </w:tr>
      <w:tr>
        <w:tc>
          <w:tcPr>
            <w:tcW w:type="dxa" w:w="5112"/>
            <w:vAlign w:val="top"/>
          </w:tcPr>
          <w:p>
            <w:r>
              <w:rPr>
                <w:rFonts w:ascii="Arial" w:hAnsi="Arial"/>
                <w:sz w:val="18"/>
              </w:rPr>
              <w:t>Runtime validation is not yet complete</w:t>
            </w:r>
          </w:p>
        </w:tc>
        <w:tc>
          <w:tcPr>
            <w:tcW w:type="dxa" w:w="5112"/>
            <w:vAlign w:val="top"/>
          </w:tcPr>
          <w:p>
            <w:r>
              <w:rPr>
                <w:rFonts w:ascii="Arial" w:hAnsi="Arial"/>
                <w:sz w:val="18"/>
              </w:rPr>
              <w:t>Static configuration and worker logic can be checked, but the full BPM must still be deployed and executed in the actual Camunda environment. A complete normal instance and at least one alternative/failure instance should be demonstrated.</w:t>
            </w:r>
          </w:p>
        </w:tc>
      </w:tr>
      <w:tr>
        <w:tc>
          <w:tcPr>
            <w:tcW w:type="dxa" w:w="5112"/>
            <w:vAlign w:val="top"/>
          </w:tcPr>
          <w:p>
            <w:r>
              <w:rPr>
                <w:rFonts w:ascii="Arial" w:hAnsi="Arial"/>
                <w:sz w:val="18"/>
              </w:rPr>
              <w:t>External services are simulated</w:t>
            </w:r>
          </w:p>
        </w:tc>
        <w:tc>
          <w:tcPr>
            <w:tcW w:type="dxa" w:w="5112"/>
            <w:vAlign w:val="top"/>
          </w:tcPr>
          <w:p>
            <w:r>
              <w:rPr>
                <w:rFonts w:ascii="Arial" w:hAnsi="Arial"/>
                <w:sz w:val="18"/>
              </w:rPr>
              <w:t>Scheduling, correspondence, treatment-resource and payment integrations are represented through simulated external workers rather than real hospital or third-party systems. Therefore the release demonstrates process behaviour, not production integration.</w:t>
            </w:r>
          </w:p>
        </w:tc>
      </w:tr>
      <w:tr>
        <w:tc>
          <w:tcPr>
            <w:tcW w:type="dxa" w:w="5112"/>
            <w:vAlign w:val="top"/>
          </w:tcPr>
          <w:p>
            <w:r>
              <w:rPr>
                <w:rFonts w:ascii="Arial" w:hAnsi="Arial"/>
                <w:sz w:val="18"/>
              </w:rPr>
              <w:t>Gateway and form integration creates maintenance risk</w:t>
            </w:r>
          </w:p>
        </w:tc>
        <w:tc>
          <w:tcPr>
            <w:tcW w:type="dxa" w:w="5112"/>
            <w:vAlign w:val="top"/>
          </w:tcPr>
          <w:p>
            <w:r>
              <w:rPr>
                <w:rFonts w:ascii="Arial" w:hAnsi="Arial"/>
                <w:sz w:val="18"/>
              </w:rPr>
              <w:t>The executable model relies on consistent variable names, gateway conditions, form IDs and worker outputs. A mismatch between BPMN, Forms or Workers can prevent the process from continuing.</w:t>
            </w:r>
          </w:p>
        </w:tc>
      </w:tr>
      <w:tr>
        <w:tc>
          <w:tcPr>
            <w:tcW w:type="dxa" w:w="5112"/>
            <w:vAlign w:val="top"/>
          </w:tcPr>
          <w:p>
            <w:r>
              <w:rPr>
                <w:rFonts w:ascii="Arial" w:hAnsi="Arial"/>
                <w:sz w:val="18"/>
              </w:rPr>
              <w:t>Some monitoring behaviour is simplified</w:t>
            </w:r>
          </w:p>
        </w:tc>
        <w:tc>
          <w:tcPr>
            <w:tcW w:type="dxa" w:w="5112"/>
            <w:vAlign w:val="top"/>
          </w:tcPr>
          <w:p>
            <w:r>
              <w:rPr>
                <w:rFonts w:ascii="Arial" w:hAnsi="Arial"/>
                <w:sz w:val="18"/>
              </w:rPr>
              <w:t>Clinic Letter reminders/escalations and service retry behaviour are represented at coursework level. A production system would need more detailed timer, retry, escalation, audit and operational exception handling.</w:t>
            </w:r>
          </w:p>
        </w:tc>
      </w:tr>
    </w:tbl>
    <w:p>
      <w:pPr>
        <w:pStyle w:val="Heading1"/>
      </w:pPr>
      <w:r>
        <w:t>3. Sprint 02 Improvement Actions</w:t>
      </w:r>
    </w:p>
    <w:p>
      <w:pPr>
        <w:pStyle w:val="ListBullet"/>
      </w:pPr>
      <w:r>
        <w:t>Improve the layout of the integrated BPMN to reduce unnecessary line crossings and improve readability.</w:t>
      </w:r>
    </w:p>
    <w:p>
      <w:pPr>
        <w:pStyle w:val="ListBullet"/>
      </w:pPr>
      <w:r>
        <w:t>Confirm unresolved business rules with the tutor/client and update assumptions where required.</w:t>
      </w:r>
    </w:p>
    <w:p>
      <w:pPr>
        <w:pStyle w:val="ListBullet"/>
      </w:pPr>
      <w:r>
        <w:t>Deploy the BPMN and Forms in Camunda and run one complete normal scenario and one alternative/failure scenario.</w:t>
      </w:r>
    </w:p>
    <w:p>
      <w:pPr>
        <w:pStyle w:val="ListBullet"/>
      </w:pPr>
      <w:r>
        <w:t>Verify BPMN variable names, gateway conditions, Form IDs and worker outputs before the Sprint Review.</w:t>
      </w:r>
    </w:p>
    <w:p>
      <w:pPr>
        <w:pStyle w:val="ListBullet"/>
      </w:pPr>
      <w:r>
        <w:t>Keep the shared Git repository up to date and preserve the Sprint 02 review version/commit.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