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34"/>
        </w:rPr>
        <w:t>Requirements Traceability Table</w:t>
      </w:r>
    </w:p>
    <w:p>
      <w:pPr>
        <w:spacing w:after="200"/>
        <w:jc w:val="center"/>
      </w:pPr>
      <w:r>
        <w:rPr>
          <w:rFonts w:ascii="Aptos" w:hAnsi="Aptos"/>
          <w:b w:val="0"/>
          <w:color w:val="000000"/>
          <w:sz w:val="19"/>
        </w:rPr>
        <w:t>This table traces the Release 1 stakeholder requirements from the strategic models to operational BPMN, Camunda Forms and acceptance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47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 and stakeholder requirement</w:t>
            </w:r>
          </w:p>
        </w:tc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Strategic BPMN and i star evidence</w:t>
            </w:r>
          </w:p>
        </w:tc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Operational implementation</w:t>
            </w:r>
          </w:p>
        </w:tc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Form and acceptance evidence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Evaluation</w:t>
            </w:r>
          </w:p>
        </w:tc>
      </w:tr>
      <w:tr>
        <w:tc>
          <w:tcPr>
            <w:tcW w:type="dxa" w:w="2477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R01 Referral and consultant review</w:t>
              <w:br/>
              <w:t>A complete referral must support a safe acceptance, rejection, redirection or request for information.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Strategic BPMN: Capture and validate referral; Consultant review and decision.</w:t>
              <w:br/>
              <w:t>SD: Referral details; Accepted referral and booking requirements.</w:t>
              <w:br/>
              <w:t>SR: Safe referral decision; Complete and traceable referral.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Process_Referral and Referral_Consultant_Review.bpmn.</w:t>
              <w:br/>
              <w:t>Routes cover complete/incomplete information, ACCEPT, REJECT, REDIRECT and MORE_INFORMATION.</w:t>
            </w:r>
          </w:p>
        </w:tc>
        <w:tc>
          <w:tcPr>
            <w:tcW w:type="dxa" w:w="2880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Form_ReferralIntake, Form_ReferralAction, Form_ConsultantReview.</w:t>
              <w:br/>
              <w:t>T01 to T04; TE01 and TE02.</w:t>
            </w:r>
          </w:p>
        </w:tc>
        <w:tc>
          <w:tcPr>
            <w:tcW w:type="dxa" w:w="2376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Addressed in the model and structural/worker evidence. Live user-task evidence remains a Release 2 activity.</w:t>
            </w:r>
          </w:p>
        </w:tc>
      </w:tr>
      <w:tr>
        <w:tc>
          <w:tcPr>
            <w:tcW w:type="dxa" w:w="2477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R02 Appointment and patient communication</w:t>
              <w:br/>
              <w:t>An accepted referral must lead to a timely confirmed appointment or an appropriate no-slot/urgent response.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Strategic BPMN: Book appointment and communicate.</w:t>
              <w:br/>
              <w:t>SD: Appointment confirmation and contact; Patient and appointment data.</w:t>
              <w:br/>
              <w:t>SR: Timely confirmed appointment; Clear patient communication.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Process_Appointment and Appointment_Patient_Communication.bpmn.</w:t>
              <w:br/>
              <w:t>Routes cover slot availability, urgent referral, contact outcome and rescheduling.</w:t>
            </w:r>
          </w:p>
        </w:tc>
        <w:tc>
          <w:tcPr>
            <w:tcW w:type="dxa" w:w="2880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Form_AppointmentBooking, Form_AppointmentResolution, Form_PatientContact.</w:t>
              <w:br/>
              <w:t>T05 to T08; TE01 and TE02.</w:t>
            </w:r>
          </w:p>
        </w:tc>
        <w:tc>
          <w:tcPr>
            <w:tcW w:type="dxa" w:w="2376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Addressed in the model and component evidence. A recorded Tasklist journey is still required.</w:t>
            </w:r>
          </w:p>
        </w:tc>
      </w:tr>
      <w:tr>
        <w:tc>
          <w:tcPr>
            <w:tcW w:type="dxa" w:w="2477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R03 Financial clearance</w:t>
              <w:br/>
              <w:t>Funding, payment, refund and exceptions must be resolved before treatment, without duplicate charging.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Strategic BPMN: Determine funding and payment.</w:t>
              <w:br/>
              <w:t>SD: Financial clearance.</w:t>
              <w:br/>
              <w:t>SR: Financial clearance before treatment; Avoid duplicate charge.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Process_Finance and Funding_Payment_Refund.bpmn.</w:t>
              <w:br/>
              <w:t>Funding, payment, confirmation-loss, duplicate-risk and refund routes are modelled.</w:t>
            </w:r>
          </w:p>
        </w:tc>
        <w:tc>
          <w:tcPr>
            <w:tcW w:type="dxa" w:w="2880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Finance forms including Form_FundingPayment, Form_PaymentOutcome, Form_PaymentInvestigation and Form_RefundReview.</w:t>
              <w:br/>
              <w:t>T13 to T17; TE02 and TE03.</w:t>
            </w:r>
          </w:p>
        </w:tc>
        <w:tc>
          <w:tcPr>
            <w:tcW w:type="dxa" w:w="2376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Addressed. H2 save/retrieve is recorded as passed; real payment-provider integration remains simulated.</w:t>
            </w:r>
          </w:p>
        </w:tc>
      </w:tr>
      <w:tr>
        <w:tc>
          <w:tcPr>
            <w:tcW w:type="dxa" w:w="2477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R04 Safe and appropriate treatment</w:t>
              <w:br/>
              <w:t>Consent, authorisation, resource availability and clinical review must determine treatment progression.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Strategic BPMN: Request and review treatment.</w:t>
              <w:br/>
              <w:t>SD: Treatment modification financial impact; Consultation outcome.</w:t>
              <w:br/>
              <w:t>SR: Safe and appropriate treatment; Clinical safety.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Process_Treatment and Treatment_Chemotherapy.bpmn.</w:t>
              <w:br/>
              <w:t>Consent, authorisation, resource retry, continue, delay and modify routes are modelled.</w:t>
            </w:r>
          </w:p>
        </w:tc>
        <w:tc>
          <w:tcPr>
            <w:tcW w:type="dxa" w:w="2880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Form_TreatmentRequest, Form_ClinicalAssessment, Form_TreatmentAction and Form_TreatmentCycleReview.</w:t>
              <w:br/>
              <w:t>T09 to T12; TE02.</w:t>
            </w:r>
          </w:p>
        </w:tc>
        <w:tc>
          <w:tcPr>
            <w:tcW w:type="dxa" w:w="2376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Addressed in the model and worker tests. Role-based authorisation is an identified future limitation.</w:t>
            </w:r>
          </w:p>
        </w:tc>
      </w:tr>
      <w:tr>
        <w:tc>
          <w:tcPr>
            <w:tcW w:type="dxa" w:w="2477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R05 Enquiries, letters and monitoring</w:t>
              <w:br/>
              <w:t>Patients must receive accurate updates, with appropriate routing, approval and escalation of delayed letters.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Strategic BPMN: Prepare, approve and distribute clinic letter.</w:t>
              <w:br/>
              <w:t>SD: Patient enquiry; Clinic letter and pathway update; Financial or urgent clinical enquiry.</w:t>
              <w:br/>
              <w:t>SR: Accurate and timely patient updates; Timely and clear communication.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Process_EnquiryLetter and Enquiry_ClinicLetter_Monitoring.bpmn.</w:t>
              <w:br/>
              <w:t>Routes cover enquiry category, urgent clinical escalation, approval, distribution and monitoring age bands.</w:t>
            </w:r>
          </w:p>
        </w:tc>
        <w:tc>
          <w:tcPr>
            <w:tcW w:type="dxa" w:w="2880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Form_Enquiry, Form_EnquiryRoute, Form_ClinicLetterAdmin, Form_ClinicLetterApproval and Form_ClinicLetterMonitoring.</w:t>
              <w:br/>
              <w:t>T18 to T23; TE02.</w:t>
            </w:r>
          </w:p>
        </w:tc>
        <w:tc>
          <w:tcPr>
            <w:tcW w:type="dxa" w:w="2376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Addressed in the model and component evidence. Timer-based runtime evidence remains required.</w:t>
            </w:r>
          </w:p>
        </w:tc>
      </w:tr>
      <w:tr>
        <w:tc>
          <w:tcPr>
            <w:tcW w:type="dxa" w:w="2477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R06 Integrated patient pathway</w:t>
              <w:br/>
              <w:t>The five operational ownership areas must pass the appropriate information to each other and complete a normal or exception journey.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Strategic BPMN shows the high-level pathway.</w:t>
              <w:br/>
              <w:t>SD records ten dependencies across the six actors.</w:t>
              <w:br/>
              <w:t>SR explains actor goals, qualities and tasks.</w:t>
            </w:r>
          </w:p>
        </w:tc>
        <w:tc>
          <w:tcPr>
            <w:tcW w:type="dxa" w:w="2952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Hospital_Master_Process.bpmn invokes Process_Referral, Process_Appointment, Process_Finance, Process_Treatment and Process_EnquiryLetter with child-variable propagation.</w:t>
            </w:r>
          </w:p>
        </w:tc>
        <w:tc>
          <w:tcPr>
            <w:tcW w:type="dxa" w:w="2880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T24 to T26; TE01 to TE07.</w:t>
              <w:br/>
              <w:t>Master and child BPMN files plus 24 form definitions are included as editable supporting files.</w:t>
            </w:r>
          </w:p>
        </w:tc>
        <w:tc>
          <w:tcPr>
            <w:tcW w:type="dxa" w:w="2376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Structural linkage is addressed. TE06 and TE07 are pending real Tasklist/Operate evidence, so end-to-end acceptance is not yet complete.</w:t>
            </w:r>
          </w:p>
        </w:tc>
      </w:tr>
    </w:tbl>
    <w:p>
      <w:r>
        <w:t>Traceability conclusion: the strategic and operational artefacts cover the six requirements. Evidence marked pending is not claimed as completed.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