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Teacher Feedback Implementation Evidence</w:t>
      </w:r>
    </w:p>
    <w:p>
      <w:pPr>
        <w:jc w:val="center"/>
      </w:pPr>
      <w:r>
        <w:rPr>
          <w:i/>
          <w:sz w:val="20"/>
        </w:rPr>
        <w:t>Hospital Patient Referral Treatment and Administration System - 403 Portfolio</w:t>
      </w:r>
    </w:p>
    <w:p>
      <w:pPr>
        <w:jc w:val="center"/>
      </w:pPr>
      <w:r>
        <w:rPr>
          <w:sz w:val="18"/>
        </w:rPr>
        <w:t>Updated 20 October 2026</w:t>
      </w:r>
    </w:p>
    <w:p>
      <w:pPr>
        <w:spacing w:after="120" w:line="259" w:lineRule="auto"/>
      </w:pPr>
      <w:r>
        <w:t>This document records the implemented response to the five feedback points. It identifies the delivered system evidence, the relevant files, and the verification completed on the integrated Release 2 solution.</w:t>
      </w:r>
    </w:p>
    <w:p>
      <w:pPr>
        <w:pStyle w:val="Heading1"/>
        <w:spacing w:before="200" w:after="100"/>
      </w:pPr>
      <w:r>
        <w:t>Implementation Summary</w:t>
      </w:r>
    </w:p>
    <w:tbl>
      <w:tblPr>
        <w:tblStyle w:val="TableGrid"/>
        <w:tblW w:type="auto" w:w="0"/>
        <w:jc w:val="center"/>
        <w:tblLook w:firstColumn="1" w:firstRow="1" w:lastColumn="0" w:lastRow="0" w:noHBand="0" w:noVBand="1" w:val="04A0"/>
      </w:tblPr>
      <w:tblGrid>
        <w:gridCol w:w="3408"/>
        <w:gridCol w:w="3408"/>
        <w:gridCol w:w="3408"/>
      </w:tblGrid>
      <w:tr>
        <w:tc>
          <w:tcPr>
            <w:tcW w:type="dxa" w:w="2088"/>
            <w:shd w:fill="1F4E78"/>
            <w:vAlign w:val="center"/>
          </w:tcPr>
          <w:p>
            <w:pPr>
              <w:spacing w:after="0"/>
            </w:pPr>
            <w:r/>
            <w:r>
              <w:rPr>
                <w:rFonts w:ascii="Aptos" w:hAnsi="Aptos"/>
                <w:b/>
                <w:color w:val="FFFFFF"/>
                <w:sz w:val="18"/>
              </w:rPr>
              <w:t>Feedback point</w:t>
            </w:r>
          </w:p>
        </w:tc>
        <w:tc>
          <w:tcPr>
            <w:tcW w:type="dxa" w:w="4392"/>
            <w:shd w:fill="1F4E78"/>
            <w:vAlign w:val="center"/>
          </w:tcPr>
          <w:p>
            <w:pPr>
              <w:spacing w:after="0"/>
            </w:pPr>
            <w:r/>
            <w:r>
              <w:rPr>
                <w:rFonts w:ascii="Aptos" w:hAnsi="Aptos"/>
                <w:b/>
                <w:color w:val="FFFFFF"/>
                <w:sz w:val="18"/>
              </w:rPr>
              <w:t>Implemented response</w:t>
            </w:r>
          </w:p>
        </w:tc>
        <w:tc>
          <w:tcPr>
            <w:tcW w:type="dxa" w:w="2880"/>
            <w:shd w:fill="1F4E78"/>
            <w:vAlign w:val="center"/>
          </w:tcPr>
          <w:p>
            <w:pPr>
              <w:spacing w:after="0"/>
            </w:pPr>
            <w:r/>
            <w:r>
              <w:rPr>
                <w:rFonts w:ascii="Aptos" w:hAnsi="Aptos"/>
                <w:b/>
                <w:color w:val="FFFFFF"/>
                <w:sz w:val="18"/>
              </w:rPr>
              <w:t>Evidence and verification</w:t>
            </w:r>
          </w:p>
        </w:tc>
      </w:tr>
      <w:tr>
        <w:tc>
          <w:tcPr>
            <w:tcW w:type="dxa" w:w="2088"/>
            <w:vAlign w:val="center"/>
          </w:tcPr>
          <w:p>
            <w:pPr>
              <w:spacing w:after="0"/>
            </w:pPr>
            <w:r/>
            <w:r>
              <w:rPr>
                <w:rFonts w:ascii="Aptos" w:hAnsi="Aptos"/>
                <w:b w:val="0"/>
                <w:sz w:val="18"/>
              </w:rPr>
              <w:t>1. Strengthen form validation</w:t>
            </w:r>
          </w:p>
        </w:tc>
        <w:tc>
          <w:tcPr>
            <w:tcW w:type="dxa" w:w="4392"/>
            <w:vAlign w:val="center"/>
          </w:tcPr>
          <w:p>
            <w:pPr>
              <w:spacing w:after="0"/>
            </w:pPr>
            <w:r/>
            <w:r>
              <w:rPr>
                <w:rFonts w:ascii="Aptos" w:hAnsi="Aptos"/>
                <w:b w:val="0"/>
                <w:sz w:val="18"/>
              </w:rPr>
              <w:t>Required validation is configured for essential patient, clinical, funding, decision and outcome inputs. Decision fields use controlled options rather than free text where a route must be selected.</w:t>
            </w:r>
          </w:p>
        </w:tc>
        <w:tc>
          <w:tcPr>
            <w:tcW w:type="dxa" w:w="2880"/>
            <w:vAlign w:val="center"/>
          </w:tcPr>
          <w:p>
            <w:pPr>
              <w:spacing w:after="0"/>
            </w:pPr>
            <w:r/>
            <w:r>
              <w:rPr>
                <w:rFonts w:ascii="Aptos" w:hAnsi="Aptos"/>
                <w:b w:val="0"/>
                <w:sz w:val="18"/>
              </w:rPr>
              <w:t>24 deployed forms; 72 required-field rules and 37 decision controls were checked as valid JSON.</w:t>
            </w:r>
          </w:p>
        </w:tc>
      </w:tr>
      <w:tr>
        <w:tc>
          <w:tcPr>
            <w:tcW w:type="dxa" w:w="2088"/>
            <w:vAlign w:val="center"/>
          </w:tcPr>
          <w:p>
            <w:pPr>
              <w:spacing w:after="0"/>
            </w:pPr>
            <w:r/>
            <w:r>
              <w:rPr>
                <w:rFonts w:ascii="Aptos" w:hAnsi="Aptos"/>
                <w:b w:val="0"/>
                <w:sz w:val="18"/>
              </w:rPr>
              <w:t>2. Use merging gateways</w:t>
            </w:r>
          </w:p>
        </w:tc>
        <w:tc>
          <w:tcPr>
            <w:tcW w:type="dxa" w:w="4392"/>
            <w:vAlign w:val="center"/>
          </w:tcPr>
          <w:p>
            <w:pPr>
              <w:spacing w:after="0"/>
            </w:pPr>
            <w:r/>
            <w:r>
              <w:rPr>
                <w:rFonts w:ascii="Aptos" w:hAnsi="Aptos"/>
                <w:b w:val="0"/>
                <w:sz w:val="18"/>
              </w:rPr>
              <w:t>Converging exclusive gateways bring alternative routes back together before the next common activity or end event.</w:t>
            </w:r>
          </w:p>
        </w:tc>
        <w:tc>
          <w:tcPr>
            <w:tcW w:type="dxa" w:w="2880"/>
            <w:vAlign w:val="center"/>
          </w:tcPr>
          <w:p>
            <w:pPr>
              <w:spacing w:after="0"/>
            </w:pPr>
            <w:r/>
            <w:r>
              <w:rPr>
                <w:rFonts w:ascii="Aptos" w:hAnsi="Aptos"/>
                <w:b w:val="0"/>
                <w:sz w:val="18"/>
              </w:rPr>
              <w:t>Examples: G_Clear in Finance, G_CommDone in Appointment, G_TreatmentReady in Treatment, and G_LetterDone/G_Letter7 in Clinic Letter.</w:t>
            </w:r>
          </w:p>
        </w:tc>
      </w:tr>
      <w:tr>
        <w:tc>
          <w:tcPr>
            <w:tcW w:type="dxa" w:w="2088"/>
            <w:vAlign w:val="center"/>
          </w:tcPr>
          <w:p>
            <w:pPr>
              <w:spacing w:after="0"/>
            </w:pPr>
            <w:r/>
            <w:r>
              <w:rPr>
                <w:rFonts w:ascii="Aptos" w:hAnsi="Aptos"/>
                <w:b w:val="0"/>
                <w:sz w:val="18"/>
              </w:rPr>
              <w:t>3. Add forms and options</w:t>
            </w:r>
          </w:p>
        </w:tc>
        <w:tc>
          <w:tcPr>
            <w:tcW w:type="dxa" w:w="4392"/>
            <w:vAlign w:val="center"/>
          </w:tcPr>
          <w:p>
            <w:pPr>
              <w:spacing w:after="0"/>
            </w:pPr>
            <w:r/>
            <w:r>
              <w:rPr>
                <w:rFonts w:ascii="Aptos" w:hAnsi="Aptos"/>
                <w:b w:val="0"/>
                <w:sz w:val="18"/>
              </w:rPr>
              <w:t>All user-task form references in the operational BPMNs resolve to a deployed form. Forms cover referral, appointment, funding, treatment, clinic letter and exception scenarios.</w:t>
            </w:r>
          </w:p>
        </w:tc>
        <w:tc>
          <w:tcPr>
            <w:tcW w:type="dxa" w:w="2880"/>
            <w:vAlign w:val="center"/>
          </w:tcPr>
          <w:p>
            <w:pPr>
              <w:spacing w:after="0"/>
            </w:pPr>
            <w:r/>
            <w:r>
              <w:rPr>
                <w:rFonts w:ascii="Aptos" w:hAnsi="Aptos"/>
                <w:b w:val="0"/>
                <w:sz w:val="18"/>
              </w:rPr>
              <w:t>24 BPMN form references were checked against 24 form IDs; no missing reference was found.</w:t>
            </w:r>
          </w:p>
        </w:tc>
      </w:tr>
      <w:tr>
        <w:tc>
          <w:tcPr>
            <w:tcW w:type="dxa" w:w="2088"/>
            <w:vAlign w:val="center"/>
          </w:tcPr>
          <w:p>
            <w:pPr>
              <w:spacing w:after="0"/>
            </w:pPr>
            <w:r/>
            <w:r>
              <w:rPr>
                <w:rFonts w:ascii="Aptos" w:hAnsi="Aptos"/>
                <w:b w:val="0"/>
                <w:sz w:val="18"/>
              </w:rPr>
              <w:t>4. Implement data persistence</w:t>
            </w:r>
          </w:p>
        </w:tc>
        <w:tc>
          <w:tcPr>
            <w:tcW w:type="dxa" w:w="4392"/>
            <w:vAlign w:val="center"/>
          </w:tcPr>
          <w:p>
            <w:pPr>
              <w:spacing w:after="0"/>
            </w:pPr>
            <w:r/>
            <w:r>
              <w:rPr>
                <w:rFonts w:ascii="Aptos" w:hAnsi="Aptos"/>
                <w:b w:val="0"/>
                <w:sz w:val="18"/>
              </w:rPr>
              <w:t>A file-backed H2 repository stores application values by patientId. A worker first retrieves the existing record, applies current task values, then writes the combined record back after completing the job.</w:t>
            </w:r>
          </w:p>
        </w:tc>
        <w:tc>
          <w:tcPr>
            <w:tcW w:type="dxa" w:w="2880"/>
            <w:vAlign w:val="center"/>
          </w:tcPr>
          <w:p>
            <w:pPr>
              <w:spacing w:after="0"/>
            </w:pPr>
            <w:r/>
            <w:r>
              <w:rPr>
                <w:rFonts w:ascii="Aptos" w:hAnsi="Aptos"/>
                <w:b w:val="0"/>
                <w:sz w:val="18"/>
              </w:rPr>
              <w:t>ApplicationDataRepository and WorkerSupport implement save and retrieval. The database file is retained in 04_External_Workers/data.</w:t>
            </w:r>
          </w:p>
        </w:tc>
      </w:tr>
      <w:tr>
        <w:tc>
          <w:tcPr>
            <w:tcW w:type="dxa" w:w="2088"/>
            <w:vAlign w:val="center"/>
          </w:tcPr>
          <w:p>
            <w:pPr>
              <w:spacing w:after="0"/>
            </w:pPr>
            <w:r/>
            <w:r>
              <w:rPr>
                <w:rFonts w:ascii="Aptos" w:hAnsi="Aptos"/>
                <w:b w:val="0"/>
                <w:sz w:val="18"/>
              </w:rPr>
              <w:t>5. Data persistence is missing</w:t>
            </w:r>
          </w:p>
        </w:tc>
        <w:tc>
          <w:tcPr>
            <w:tcW w:type="dxa" w:w="4392"/>
            <w:vAlign w:val="center"/>
          </w:tcPr>
          <w:p>
            <w:pPr>
              <w:spacing w:after="0"/>
            </w:pPr>
            <w:r/>
            <w:r>
              <w:rPr>
                <w:rFonts w:ascii="Aptos" w:hAnsi="Aptos"/>
                <w:b w:val="0"/>
                <w:sz w:val="18"/>
              </w:rPr>
              <w:t>This duplicate feedback item is addressed by the same H2 implementation. The persistence test creates a record, creates a fresh repository instance to simulate reopening the application, and confirms the saved values are restored.</w:t>
            </w:r>
          </w:p>
        </w:tc>
        <w:tc>
          <w:tcPr>
            <w:tcW w:type="dxa" w:w="2880"/>
            <w:vAlign w:val="center"/>
          </w:tcPr>
          <w:p>
            <w:pPr>
              <w:spacing w:after="0"/>
            </w:pPr>
            <w:r/>
            <w:r>
              <w:rPr>
                <w:rFonts w:ascii="Aptos" w:hAnsi="Aptos"/>
                <w:b w:val="0"/>
                <w:sz w:val="18"/>
              </w:rPr>
              <w:t>14 offline worker and persistence tests passed, including fileDatabaseKeepsDataAfterRepositoryIsReopened.</w:t>
            </w:r>
          </w:p>
        </w:tc>
      </w:tr>
    </w:tbl>
    <w:p/>
    <w:p>
      <w:pPr>
        <w:pStyle w:val="Heading1"/>
        <w:spacing w:before="200" w:after="100"/>
      </w:pPr>
      <w:r>
        <w:t>Technical Evidence</w:t>
      </w:r>
    </w:p>
    <w:tbl>
      <w:tblPr>
        <w:tblStyle w:val="TableGrid"/>
        <w:tblW w:type="auto" w:w="0"/>
        <w:jc w:val="center"/>
        <w:tblLook w:firstColumn="1" w:firstRow="1" w:lastColumn="0" w:lastRow="0" w:noHBand="0" w:noVBand="1" w:val="04A0"/>
      </w:tblPr>
      <w:tblGrid>
        <w:gridCol w:w="3408"/>
        <w:gridCol w:w="3408"/>
        <w:gridCol w:w="3408"/>
      </w:tblGrid>
      <w:tr>
        <w:tc>
          <w:tcPr>
            <w:tcW w:type="dxa" w:w="1944"/>
            <w:shd w:fill="1F4E78"/>
            <w:vAlign w:val="center"/>
          </w:tcPr>
          <w:p>
            <w:pPr>
              <w:spacing w:after="0"/>
            </w:pPr>
            <w:r/>
            <w:r>
              <w:rPr>
                <w:rFonts w:ascii="Aptos" w:hAnsi="Aptos"/>
                <w:b/>
                <w:color w:val="FFFFFF"/>
                <w:sz w:val="18"/>
              </w:rPr>
              <w:t>Area</w:t>
            </w:r>
          </w:p>
        </w:tc>
        <w:tc>
          <w:tcPr>
            <w:tcW w:type="dxa" w:w="5112"/>
            <w:shd w:fill="1F4E78"/>
            <w:vAlign w:val="center"/>
          </w:tcPr>
          <w:p>
            <w:pPr>
              <w:spacing w:after="0"/>
            </w:pPr>
            <w:r/>
            <w:r>
              <w:rPr>
                <w:rFonts w:ascii="Aptos" w:hAnsi="Aptos"/>
                <w:b/>
                <w:color w:val="FFFFFF"/>
                <w:sz w:val="18"/>
              </w:rPr>
              <w:t>File location</w:t>
            </w:r>
          </w:p>
        </w:tc>
        <w:tc>
          <w:tcPr>
            <w:tcW w:type="dxa" w:w="2304"/>
            <w:shd w:fill="1F4E78"/>
            <w:vAlign w:val="center"/>
          </w:tcPr>
          <w:p>
            <w:pPr>
              <w:spacing w:after="0"/>
            </w:pPr>
            <w:r/>
            <w:r>
              <w:rPr>
                <w:rFonts w:ascii="Aptos" w:hAnsi="Aptos"/>
                <w:b/>
                <w:color w:val="FFFFFF"/>
                <w:sz w:val="18"/>
              </w:rPr>
              <w:t>What it demonstrates</w:t>
            </w:r>
          </w:p>
        </w:tc>
      </w:tr>
      <w:tr>
        <w:tc>
          <w:tcPr>
            <w:tcW w:type="dxa" w:w="1944"/>
            <w:vAlign w:val="center"/>
          </w:tcPr>
          <w:p>
            <w:pPr>
              <w:spacing w:after="0"/>
            </w:pPr>
            <w:r/>
            <w:r>
              <w:rPr>
                <w:rFonts w:ascii="Aptos" w:hAnsi="Aptos"/>
                <w:b w:val="0"/>
                <w:sz w:val="18"/>
              </w:rPr>
              <w:t>Form validation</w:t>
            </w:r>
          </w:p>
        </w:tc>
        <w:tc>
          <w:tcPr>
            <w:tcW w:type="dxa" w:w="5112"/>
            <w:vAlign w:val="center"/>
          </w:tcPr>
          <w:p>
            <w:pPr>
              <w:spacing w:after="0"/>
            </w:pPr>
            <w:r/>
            <w:r>
              <w:rPr>
                <w:rFonts w:ascii="Aptos" w:hAnsi="Aptos"/>
                <w:b w:val="0"/>
                <w:sz w:val="18"/>
              </w:rPr>
              <w:t>03_Camunda_Forms</w:t>
            </w:r>
          </w:p>
        </w:tc>
        <w:tc>
          <w:tcPr>
            <w:tcW w:type="dxa" w:w="2304"/>
            <w:vAlign w:val="center"/>
          </w:tcPr>
          <w:p>
            <w:pPr>
              <w:spacing w:after="0"/>
            </w:pPr>
            <w:r/>
            <w:r>
              <w:rPr>
                <w:rFonts w:ascii="Aptos" w:hAnsi="Aptos"/>
                <w:b w:val="0"/>
                <w:sz w:val="18"/>
              </w:rPr>
              <w:t>Required fields and constrained decision choices across 24 forms.</w:t>
            </w:r>
          </w:p>
        </w:tc>
      </w:tr>
      <w:tr>
        <w:tc>
          <w:tcPr>
            <w:tcW w:type="dxa" w:w="1944"/>
            <w:vAlign w:val="center"/>
          </w:tcPr>
          <w:p>
            <w:pPr>
              <w:spacing w:after="0"/>
            </w:pPr>
            <w:r/>
            <w:r>
              <w:rPr>
                <w:rFonts w:ascii="Aptos" w:hAnsi="Aptos"/>
                <w:b w:val="0"/>
                <w:sz w:val="18"/>
              </w:rPr>
              <w:t>Process convergence</w:t>
            </w:r>
          </w:p>
        </w:tc>
        <w:tc>
          <w:tcPr>
            <w:tcW w:type="dxa" w:w="5112"/>
            <w:vAlign w:val="center"/>
          </w:tcPr>
          <w:p>
            <w:pPr>
              <w:spacing w:after="0"/>
            </w:pPr>
            <w:r/>
            <w:r>
              <w:rPr>
                <w:rFonts w:ascii="Aptos" w:hAnsi="Aptos"/>
                <w:b w:val="0"/>
                <w:sz w:val="18"/>
              </w:rPr>
              <w:t>02_Release2_Integrated_BPMN</w:t>
            </w:r>
          </w:p>
        </w:tc>
        <w:tc>
          <w:tcPr>
            <w:tcW w:type="dxa" w:w="2304"/>
            <w:vAlign w:val="center"/>
          </w:tcPr>
          <w:p>
            <w:pPr>
              <w:spacing w:after="0"/>
            </w:pPr>
            <w:r/>
            <w:r>
              <w:rPr>
                <w:rFonts w:ascii="Aptos" w:hAnsi="Aptos"/>
                <w:b w:val="0"/>
                <w:sz w:val="18"/>
              </w:rPr>
              <w:t>Alternative operational routes converge through named gateways.</w:t>
            </w:r>
          </w:p>
        </w:tc>
      </w:tr>
      <w:tr>
        <w:tc>
          <w:tcPr>
            <w:tcW w:type="dxa" w:w="1944"/>
            <w:vAlign w:val="center"/>
          </w:tcPr>
          <w:p>
            <w:pPr>
              <w:spacing w:after="0"/>
            </w:pPr>
            <w:r/>
            <w:r>
              <w:rPr>
                <w:rFonts w:ascii="Aptos" w:hAnsi="Aptos"/>
                <w:b w:val="0"/>
                <w:sz w:val="18"/>
              </w:rPr>
              <w:t>Persistence repository</w:t>
            </w:r>
          </w:p>
        </w:tc>
        <w:tc>
          <w:tcPr>
            <w:tcW w:type="dxa" w:w="5112"/>
            <w:vAlign w:val="center"/>
          </w:tcPr>
          <w:p>
            <w:pPr>
              <w:spacing w:after="0"/>
            </w:pPr>
            <w:r/>
            <w:r>
              <w:rPr>
                <w:rFonts w:ascii="Aptos" w:hAnsi="Aptos"/>
                <w:b w:val="0"/>
                <w:sz w:val="18"/>
              </w:rPr>
              <w:t>04_External_Workers/src/main/java/org/hospital/workers/ApplicationDataRepository.java</w:t>
            </w:r>
          </w:p>
        </w:tc>
        <w:tc>
          <w:tcPr>
            <w:tcW w:type="dxa" w:w="2304"/>
            <w:vAlign w:val="center"/>
          </w:tcPr>
          <w:p>
            <w:pPr>
              <w:spacing w:after="0"/>
            </w:pPr>
            <w:r/>
            <w:r>
              <w:rPr>
                <w:rFonts w:ascii="Aptos" w:hAnsi="Aptos"/>
                <w:b w:val="0"/>
                <w:sz w:val="18"/>
              </w:rPr>
              <w:t>Creates the application_data table and performs keyed load/save operations.</w:t>
            </w:r>
          </w:p>
        </w:tc>
      </w:tr>
      <w:tr>
        <w:tc>
          <w:tcPr>
            <w:tcW w:type="dxa" w:w="1944"/>
            <w:vAlign w:val="center"/>
          </w:tcPr>
          <w:p>
            <w:pPr>
              <w:spacing w:after="0"/>
            </w:pPr>
            <w:r/>
            <w:r>
              <w:rPr>
                <w:rFonts w:ascii="Aptos" w:hAnsi="Aptos"/>
                <w:b w:val="0"/>
                <w:sz w:val="18"/>
              </w:rPr>
              <w:t>Worker persistence integration</w:t>
            </w:r>
          </w:p>
        </w:tc>
        <w:tc>
          <w:tcPr>
            <w:tcW w:type="dxa" w:w="5112"/>
            <w:vAlign w:val="center"/>
          </w:tcPr>
          <w:p>
            <w:pPr>
              <w:spacing w:after="0"/>
            </w:pPr>
            <w:r/>
            <w:r>
              <w:rPr>
                <w:rFonts w:ascii="Aptos" w:hAnsi="Aptos"/>
                <w:b w:val="0"/>
                <w:sz w:val="18"/>
              </w:rPr>
              <w:t>04_External_Workers/src/main/java/org/hospital/workers/WorkerSupport.java</w:t>
            </w:r>
          </w:p>
        </w:tc>
        <w:tc>
          <w:tcPr>
            <w:tcW w:type="dxa" w:w="2304"/>
            <w:vAlign w:val="center"/>
          </w:tcPr>
          <w:p>
            <w:pPr>
              <w:spacing w:after="0"/>
            </w:pPr>
            <w:r/>
            <w:r>
              <w:rPr>
                <w:rFonts w:ascii="Aptos" w:hAnsi="Aptos"/>
                <w:b w:val="0"/>
                <w:sz w:val="18"/>
              </w:rPr>
              <w:t>Loads persisted values before a worker handler and saves the merged record after it completes.</w:t>
            </w:r>
          </w:p>
        </w:tc>
      </w:tr>
      <w:tr>
        <w:tc>
          <w:tcPr>
            <w:tcW w:type="dxa" w:w="1944"/>
            <w:vAlign w:val="center"/>
          </w:tcPr>
          <w:p>
            <w:pPr>
              <w:spacing w:after="0"/>
            </w:pPr>
            <w:r/>
            <w:r>
              <w:rPr>
                <w:rFonts w:ascii="Aptos" w:hAnsi="Aptos"/>
                <w:b w:val="0"/>
                <w:sz w:val="18"/>
              </w:rPr>
              <w:t>Persistence test</w:t>
            </w:r>
          </w:p>
        </w:tc>
        <w:tc>
          <w:tcPr>
            <w:tcW w:type="dxa" w:w="5112"/>
            <w:vAlign w:val="center"/>
          </w:tcPr>
          <w:p>
            <w:pPr>
              <w:spacing w:after="0"/>
            </w:pPr>
            <w:r/>
            <w:r>
              <w:rPr>
                <w:rFonts w:ascii="Aptos" w:hAnsi="Aptos"/>
                <w:b w:val="0"/>
                <w:sz w:val="18"/>
              </w:rPr>
              <w:t>04_External_Workers/src/test/java/org/hospital/workers/ApplicationDataRepositoryTest.java</w:t>
            </w:r>
          </w:p>
        </w:tc>
        <w:tc>
          <w:tcPr>
            <w:tcW w:type="dxa" w:w="2304"/>
            <w:vAlign w:val="center"/>
          </w:tcPr>
          <w:p>
            <w:pPr>
              <w:spacing w:after="0"/>
            </w:pPr>
            <w:r/>
            <w:r>
              <w:rPr>
                <w:rFonts w:ascii="Aptos" w:hAnsi="Aptos"/>
                <w:b w:val="0"/>
                <w:sz w:val="18"/>
              </w:rPr>
              <w:t>Tests storage and retrieval after a fresh repository object is created.</w:t>
            </w:r>
          </w:p>
        </w:tc>
      </w:tr>
    </w:tbl>
    <w:p/>
    <w:p>
      <w:pPr>
        <w:pStyle w:val="Heading1"/>
        <w:spacing w:before="200" w:after="100"/>
      </w:pPr>
      <w:r>
        <w:t>Verification Performed</w:t>
      </w:r>
    </w:p>
    <w:p>
      <w:pPr>
        <w:spacing w:after="120" w:line="259" w:lineRule="auto"/>
      </w:pPr>
      <w:r>
        <w:t>The six operational BPMNs and 24 forms were parsed successfully. Every BPMN form ID is present in the form set. All eight Java source files compiled successfully with Java 17. The offline test runner passed 14 tests covering referral validation, appointment routes, treatment-resource outcomes, payment and refund scenarios, clinic-letter approval, and H2 persistence.</w:t>
      </w:r>
    </w:p>
    <w:p>
      <w:pPr>
        <w:pStyle w:val="Heading1"/>
        <w:spacing w:before="200" w:after="100"/>
      </w:pPr>
      <w:r>
        <w:t>Persistent Data Location</w:t>
      </w:r>
    </w:p>
    <w:p>
      <w:pPr>
        <w:spacing w:after="120" w:line="259" w:lineRule="auto"/>
      </w:pPr>
      <w:r>
        <w:t>The durable data file is 04_External_Workers/data/hospital-applications.mv.db. It is not an in-memory database: stopping and restarting the worker does not delete this file. Each worker job uses patientId as the record key, so a later task or a later process instance can retrieve the saved patient application values.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