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吴同宇资金付款与退款模块技术教学报告</w:t>
      </w:r>
      <w:r/>
    </w:p>
    <w:p>
      <w:r>
        <w:t>对象：吴同宇及小组成员。范围：当前 BPMN、Camunda Form、Java worker、主流程与项目计划。</w:t>
      </w:r>
    </w:p>
    <w:p>
      <w:r>
        <w:t>这份报告说明本成员负责的子流程怎样与 Hospital 总流程连接、怎样由 Form 和 worker 驱动，以及怎样在答辩中准确解释其限制。</w:t>
      </w:r>
    </w:p>
    <w:p>
      <w:pPr>
        <w:pStyle w:val="Heading1"/>
      </w:pPr>
      <w:r>
        <w:t>一 总流程位置与合作</w:t>
      </w:r>
    </w:p>
    <w:p>
      <w:r>
        <w:t>Appointment 完成后，主流程调用 Finance；资金清算条件成立后才进入林佳强的 Treatment。</w:t>
      </w:r>
    </w:p>
    <w:p>
      <w:r>
        <w:t>合作关系：林佳强是治疗第一负责人，吴同宇作为第二负责人检查财务边界；肖宇莹是 Finance 第二负责人，协助异常和退款交接。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 ID</w:t>
            </w:r>
          </w:p>
        </w:tc>
        <w:tc>
          <w:tcPr>
            <w:tcW w:type="dxa" w:w="28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本人负责模块</w:t>
            </w:r>
          </w:p>
        </w:tc>
        <w:tc>
          <w:tcPr>
            <w:tcW w:type="dxa" w:w="3969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运行边界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Process_Finance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finance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Appointment 完成后，主流程调用 Finance；资金清算条件成立后才进入林佳强的 Treatment。</w:t>
            </w:r>
          </w:p>
        </w:tc>
      </w:tr>
    </w:tbl>
    <w:p>
      <w:pPr>
        <w:pStyle w:val="Heading1"/>
      </w:pPr>
      <w:r>
        <w:t>二 当前运营图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64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6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当前可执行 BPMN 图。展示时可放大分支区域。</w:t>
      </w:r>
    </w:p>
    <w:p>
      <w:pPr>
        <w:pStyle w:val="Heading1"/>
      </w:pPr>
      <w:r>
        <w:t>三 Form 与路径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Funding Payment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patientId、fundingType 必填；paymentScenario、approvedAmount、urgentTreatmentOverride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资金选择及支付重试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Insurer Approval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patientId、fundingOrganisation、fundingApproved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保险审批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Refund Review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patientId、refundRequired、refundApproved、refundAmount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退款审核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变量或选择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流程结果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医院或减免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HOSPITAL 或 EXEMPTION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满足清算条件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保险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INSURER + fundingApproved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批准才清算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患者付款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SUCCESSFUL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满足清算；失败时可重试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风险状态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CONFIRMATION LOST 或 DUPLICATE RISK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调查，不自动再次扣款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退款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required 与 approved 都为 true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才调用退款 worker</w:t>
            </w:r>
          </w:p>
        </w:tc>
      </w:tr>
    </w:tbl>
    <w:p>
      <w:pPr>
        <w:pStyle w:val="Heading1"/>
      </w:pPr>
      <w:r>
        <w:t>四 Java worker 与人工责任</w:t>
      </w:r>
    </w:p>
    <w:p>
      <w:r>
        <w:t>FinanceWorkers.java 注册 process payment 和 process refund。支付 worker 只接受六个 paymentScenario；成功时写 transactionReference，风险状态写 paymentInvestigationRequired=true。退款 worker 仅在需要且批准时返回 APPROVED AND SENT。</w:t>
      </w:r>
    </w:p>
    <w:p>
      <w:r>
        <w:t>所有自动 worker 由 HospitalExternalWorkers 启动并向 Zeebe 注册。worker 成功后回写流程变量；失败后递减 retries。没有 service task 的模块依然可通过人工任务和网关运行。</w:t>
      </w:r>
    </w:p>
    <w:p>
      <w:pPr>
        <w:pStyle w:val="Heading1"/>
      </w:pPr>
      <w:r>
        <w:t>五 如何跑与验收</w:t>
      </w:r>
    </w:p>
    <w:p>
      <w:r>
        <w:t>从 Process Hospital Master 启动。总图使用 deployment binding，所以六个 BPMN 和十四个 Form 必须同一次部署；在启动实例前先运行 Java worker。</w:t>
      </w:r>
    </w:p>
    <w:p>
      <w:r>
        <w:t>分别测试四类资金来源、六种支付状态和四种退款布尔组合。尤其确认风险状态下支付 worker 不自动执行第二次。金额目前是可选文本，不能称为生产级金额验证。</w:t>
      </w:r>
    </w:p>
    <w:p>
      <w:pPr>
        <w:pStyle w:val="Heading1"/>
      </w:pPr>
      <w:r>
        <w:t>六 代码和运行场景详细说明</w:t>
      </w:r>
    </w:p>
    <w:p>
      <w:r>
        <w:t>FinanceWorkers.java 将 paymentScenario 标准化并限制在 SUCCESSFUL、DECLINED、CANCELLED、INCOMPLETE、CONFIRMATION LOST、DUPLICATE RISK 六种。SUCCESSFUL 产生 PAY 参考号；风险状态只标记调查需要，流程不自动再次付款。</w:t>
      </w:r>
    </w:p>
    <w:p>
      <w:pPr>
        <w:pStyle w:val="Heading1"/>
      </w:pPr>
      <w:r>
        <w:t>七 演示步骤与证据</w:t>
      </w:r>
    </w:p>
    <w:p>
      <w:r>
        <w:t>正常场景选择 HOSPITAL；支付场景选择 PATIENT 和 SUCCESSFUL；异常场景选择 CONFIRMATION LOST，检查没有第二次 payment job。退款用四种 required/approved 组合验证，只有 true/true 进入退款 worker。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应保存的证据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为什么需要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主流程实例 ID 与子流程实例 ID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证明本成员模块由总图调用，而非单独运行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输入与变量历史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证明网关依据的是正确变量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 完成记录或人工任务历史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证明自动和人工步骤均实际流转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结束事件和 incident 状态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证明路径结束且没有运行错误</w:t>
            </w:r>
          </w:p>
        </w:tc>
      </w:tr>
    </w:tbl>
    <w:p>
      <w:pPr>
        <w:pStyle w:val="Heading1"/>
      </w:pPr>
      <w:r>
        <w:t>八 后续改进计划</w:t>
      </w:r>
    </w:p>
    <w:p>
      <w:r>
        <w:t>下一步建议把金额改为受校验的数值，接入支付幂等键，并将 pending finance end event 改为有负责人、时限和后续任务的运营处理。</w:t>
      </w:r>
    </w:p>
    <w:p>
      <w:pPr>
        <w:pStyle w:val="Heading1"/>
      </w:pPr>
      <w:r>
        <w:t>九 答辩常见问题</w:t>
      </w:r>
    </w:p>
    <w:p>
      <w:r>
        <w:rPr>
          <w:b/>
        </w:rPr>
        <w:t xml:space="preserve">怎样防止重复扣款？  </w:t>
      </w:r>
      <w:r>
        <w:t>当前只做风险分流和调查前不自动重试，没有持久化幂等键。</w:t>
      </w:r>
    </w:p>
    <w:p>
      <w:r>
        <w:rPr>
          <w:b/>
        </w:rPr>
        <w:t xml:space="preserve">失败与状态不明的差异？  </w:t>
      </w:r>
      <w:r>
        <w:t>失败可编辑后重试；确认丢失或重复风险必须先调查。</w:t>
      </w:r>
    </w:p>
    <w:p>
      <w:r>
        <w:rPr>
          <w:b/>
        </w:rPr>
        <w:t xml:space="preserve">退款何时执行？  </w:t>
      </w:r>
      <w:r>
        <w:t>refundRequired 与 refundApproved 同时为 true。</w:t>
      </w:r>
    </w:p>
    <w:p>
      <w:pPr>
        <w:pStyle w:val="Heading1"/>
      </w:pPr>
      <w:r>
        <w:t>十 真实限制</w:t>
      </w:r>
    </w:p>
    <w:p>
      <w:r>
        <w:t>这是课程流程原型。静态引用已能核对，但完整总流程仍需在 Camunda 中运行并保存主子实例、变量历史、worker 日志和 incident 记录。模拟 worker 不代表真实医院或第三方系统已集成。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