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邓金旺转诊与顾问审核模块技术教学报告</w:t>
      </w:r>
      <w:r/>
    </w:p>
    <w:p>
      <w:r>
        <w:t>对象：邓金旺及小组成员。范围：当前 BPMN、Camunda Form、Java worker、主流程与项目计划。</w:t>
      </w:r>
    </w:p>
    <w:p>
      <w:r>
        <w:t>这份报告说明本成员负责的子流程怎样与 Hospital 总流程连接、怎样由 Form 和 worker 驱动，以及怎样在答辩中准确解释其限制。</w:t>
      </w:r>
    </w:p>
    <w:p>
      <w:pPr>
        <w:pStyle w:val="Heading1"/>
      </w:pPr>
      <w:r>
        <w:t>一 总流程位置与合作</w:t>
      </w:r>
    </w:p>
    <w:p>
      <w:r>
        <w:t>总流程启动后先调用 Referral。只有 referralDecision=ACCEPT 才会进入吴家威的预约子流程；REJECT 与 REDIRECT 结束主路径。</w:t>
      </w:r>
    </w:p>
    <w:p>
      <w:r>
        <w:t>合作关系：吴家威是第二负责人，协助核对转诊接受与预约交接；邓金旺也协助肖宇莹的咨询和信件模块。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 ID</w:t>
            </w:r>
          </w:p>
        </w:tc>
        <w:tc>
          <w:tcPr>
            <w:tcW w:type="dxa" w:w="28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本人负责模块</w:t>
            </w:r>
          </w:p>
        </w:tc>
        <w:tc>
          <w:tcPr>
            <w:tcW w:type="dxa" w:w="3969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运行边界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Process_Referral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总流程启动后先调用 Referral。只有 referralDecision=ACCEPT 才会进入吴家威的预约子流程；REJECT 与 REDIRECT 结束主路径。</w:t>
            </w:r>
          </w:p>
        </w:tc>
      </w:tr>
    </w:tbl>
    <w:p>
      <w:pPr>
        <w:pStyle w:val="Heading1"/>
      </w:pPr>
      <w:r>
        <w:t>二 当前运营图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13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1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当前可执行 BPMN 图。展示时可放大分支区域。</w:t>
      </w:r>
    </w:p>
    <w:p>
      <w:pPr>
        <w:pStyle w:val="Heading1"/>
      </w:pPr>
      <w:r>
        <w:t>三 Form 与路径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Referral Intake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patientId、referralId、referringOrganisation 必填；informationComplete、urgentReferral、notes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首次录入及补充资料时重用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Consultant Review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patientId、referralDecision、referralDecisionReason 必填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顾问决定 ACCEPT、REJECT、MORE INFORMATION、REDIRECT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变量或选择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流程结果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资料不完整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informationComplete=false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请求补充资料并重新检查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referralDecision=ACCEPT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总流程调用 Appointment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拒绝或转向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REJECT 或 REDIRECT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主流程不再进入 Appointment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更多信息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MORE INFORMATION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回到转诊录入</w:t>
            </w:r>
          </w:p>
        </w:tc>
      </w:tr>
    </w:tbl>
    <w:p>
      <w:pPr>
        <w:pStyle w:val="Heading1"/>
      </w:pPr>
      <w:r>
        <w:t>四 Java worker 与人工责任</w:t>
      </w:r>
    </w:p>
    <w:p>
      <w:r>
        <w:t>没有 service task。ReferralWorkers.java 明确记录：本流程依赖人工任务和网关，没有外部 job worker。图上的 message flow 只是业务沟通，不是已实现网络接口。</w:t>
      </w:r>
    </w:p>
    <w:p>
      <w:r>
        <w:t>所有自动 worker 由 HospitalExternalWorkers 启动并向 Zeebe 注册。worker 成功后回写流程变量；失败后递减 retries。没有 service task 的模块依然可通过人工任务和网关运行。</w:t>
      </w:r>
    </w:p>
    <w:p>
      <w:pPr>
        <w:pStyle w:val="Heading1"/>
      </w:pPr>
      <w:r>
        <w:t>五 如何跑与验收</w:t>
      </w:r>
    </w:p>
    <w:p>
      <w:r>
        <w:t>从 Process Hospital Master 启动。总图使用 deployment binding，所以六个 BPMN 和十四个 Form 必须同一次部署；在启动实例前先运行 Java worker。</w:t>
      </w:r>
    </w:p>
    <w:p>
      <w:r>
        <w:t>验证三个必填标识不可空；资料不完整时顾问审核不出现；四种顾问决定各跑一次，并在主流程确认 REJECT 和 REDIRECT 时 Appointment 子实例为 0。</w:t>
      </w:r>
    </w:p>
    <w:p>
      <w:pPr>
        <w:pStyle w:val="Heading1"/>
      </w:pPr>
      <w:r>
        <w:t>六 代码和运行场景详细说明</w:t>
      </w:r>
    </w:p>
    <w:p>
      <w:r>
        <w:t>ReferralWorkers.java 不注册 job type，因为当前 BPMN 没有 service task。执行完全由 Medical Secretary 与 Consultant 的人工任务完成；这不是漏写代码，而是把临床决定保留给人工角色。</w:t>
      </w:r>
    </w:p>
    <w:p>
      <w:pPr>
        <w:pStyle w:val="Heading1"/>
      </w:pPr>
      <w:r>
        <w:t>七 演示步骤与证据</w:t>
      </w:r>
    </w:p>
    <w:p>
      <w:r>
        <w:t>启动主流程后先完成转诊录入。informationComplete=false 时要看到补充资料任务，不能直接看到顾问任务；补齐后进入顾问审核。为 ACCEPT、REJECT、MORE INFORMATION、REDIRECT 分别保留任务历史与结束事件截图。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应保存的证据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主流程实例 ID 与子流程实例 ID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证明本成员模块由总图调用，而非单独运行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输入与变量历史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证明网关依据的是正确变量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完成记录或人工任务历史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证明自动和人工步骤均实际流转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结束事件和 incident 状态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证明路径结束且没有运行错误</w:t>
            </w:r>
          </w:p>
        </w:tc>
      </w:tr>
    </w:tbl>
    <w:p>
      <w:pPr>
        <w:pStyle w:val="Heading1"/>
      </w:pPr>
      <w:r>
        <w:t>八 后续改进计划</w:t>
      </w:r>
    </w:p>
    <w:p>
      <w:r>
        <w:t>下一步建议给外部转诊机构增加真正的消息或接口适配器，并为顾问任务配置候选组和审计字段。</w:t>
      </w:r>
    </w:p>
    <w:p>
      <w:pPr>
        <w:pStyle w:val="Heading1"/>
      </w:pPr>
      <w:r>
        <w:t>九 答辩常见问题</w:t>
      </w:r>
    </w:p>
    <w:p>
      <w:r>
        <w:rPr>
          <w:b/>
        </w:rPr>
        <w:t xml:space="preserve">为什么资料齐全仍要顾问审核？  </w:t>
      </w:r>
      <w:r>
        <w:t>资料完整只是行政条件，顾问决定才是临床授权。</w:t>
      </w:r>
    </w:p>
    <w:p>
      <w:r>
        <w:rPr>
          <w:b/>
        </w:rPr>
        <w:t xml:space="preserve">为什么没有 worker？  </w:t>
      </w:r>
      <w:r>
        <w:t>当前没有自动 service task，人工审核就是流程的一部分。</w:t>
      </w:r>
    </w:p>
    <w:p>
      <w:r>
        <w:rPr>
          <w:b/>
        </w:rPr>
        <w:t xml:space="preserve">MORE INFORMATION 与资料不全有何不同？  </w:t>
      </w:r>
      <w:r>
        <w:t>前者由顾问审阅后提出，后者在顾问前补齐支持材料。</w:t>
      </w:r>
    </w:p>
    <w:p>
      <w:pPr>
        <w:pStyle w:val="Heading1"/>
      </w:pPr>
      <w:r>
        <w:t>十 真实限制</w:t>
      </w:r>
    </w:p>
    <w:p>
      <w:r>
        <w:t>这是课程流程原型。静态引用已能核对，但完整总流程仍需在 Camunda 中运行并保存主子实例、变量历史、worker 日志和 incident 记录。模拟 worker 不代表真实医院或第三方系统已集成。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