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38"/>
        </w:rPr>
        <w:t>603 Group Contribution Record</w:t>
      </w:r>
    </w:p>
    <w:p>
      <w:pPr>
        <w:spacing w:after="240"/>
        <w:jc w:val="center"/>
      </w:pPr>
      <w:r>
        <w:rPr>
          <w:rFonts w:ascii="Aptos" w:hAnsi="Aptos"/>
          <w:b w:val="0"/>
          <w:color w:val="000000"/>
          <w:sz w:val="21"/>
        </w:rPr>
        <w:t xml:space="preserve">The agreed contribution allocation for the group totals 100%.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224"/>
        <w:gridCol w:w="3312"/>
        <w:gridCol w:w="3312"/>
        <w:gridCol w:w="936"/>
      </w:tblGrid>
      <w:tr>
        <w:tc>
          <w:tcPr>
            <w:tcW w:type="dxa" w:w="1728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Group member</w:t>
            </w:r>
          </w:p>
        </w:tc>
        <w:tc>
          <w:tcPr>
            <w:tcW w:type="dxa" w:w="1224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Role</w:t>
            </w:r>
          </w:p>
        </w:tc>
        <w:tc>
          <w:tcPr>
            <w:tcW w:type="dxa" w:w="3312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403 portfolio contribution</w:t>
            </w:r>
          </w:p>
        </w:tc>
        <w:tc>
          <w:tcPr>
            <w:tcW w:type="dxa" w:w="3312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603 Release 2 contribution</w:t>
            </w:r>
          </w:p>
        </w:tc>
        <w:tc>
          <w:tcPr>
            <w:tcW w:type="dxa" w:w="936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Contribution</w:t>
            </w:r>
          </w:p>
        </w:tc>
      </w:tr>
      <w:tr>
        <w:tc>
          <w:tcPr>
            <w:tcW w:type="dxa" w:w="1728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Dengjinwang Deng</w:t>
            </w:r>
          </w:p>
        </w:tc>
        <w:tc>
          <w:tcPr>
            <w:tcW w:type="dxa" w:w="1224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member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Referral and Consultant Review pathway in the strategic BPMN and operational BPMN. Defined referral intake, supporting-information and consultant-review forms; modelled complete, incomplete, accept, reject, redirect and further-information routes. Contributed the referral actor's goals, tasks and dependencies to the SD and SR models.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the referral-validation worker and the Release 2 referral form validation. Checked the referral decision and retry routes, provided referral test scenarios and evidence, and linked the referral changes to the teacher-feedback response.</w:t>
            </w:r>
          </w:p>
        </w:tc>
        <w:tc>
          <w:tcPr>
            <w:tcW w:type="dxa" w:w="936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19.00%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Jiawei Wu</w:t>
            </w:r>
          </w:p>
        </w:tc>
        <w:tc>
          <w:tcPr>
            <w:tcW w:type="dxa" w:w="12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leader</w:t>
            </w:r>
          </w:p>
        </w:tc>
        <w:tc>
          <w:tcPr>
            <w:tcW w:type="dxa" w:w="33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Appointment and Patient Communication pathway in the strategic BPMN and operational BPMN. Defined booking, slot search, appointment confirmation and patient-contact forms; modelled suitable-slot, no-slot, urgent and rescheduling routes. Contributed appointment responsibilities and dependencies to the SD and SR models and the strategic-process integration.</w:t>
            </w:r>
          </w:p>
        </w:tc>
        <w:tc>
          <w:tcPr>
            <w:tcW w:type="dxa" w:w="33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appointment slot-search and correspondence worker behaviour. Checked the call-activity hand-off between the master process and child processes, prepared the integrated Release 2 BPMN and presentation evidence, and coordinated the cross-process acceptance scenarios.</w:t>
            </w:r>
          </w:p>
        </w:tc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23.00%</w:t>
            </w:r>
          </w:p>
        </w:tc>
      </w:tr>
      <w:tr>
        <w:tc>
          <w:tcPr>
            <w:tcW w:type="dxa" w:w="1728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Lin Jiaqiang</w:t>
            </w:r>
          </w:p>
        </w:tc>
        <w:tc>
          <w:tcPr>
            <w:tcW w:type="dxa" w:w="1224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member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Treatment and Chemotherapy pathway in the strategic BPMN and operational BPMN. Defined treatment request, consent, clinical assessment, resource-availability and cycle-review forms; modelled authorisation, unavailable-resource, continue, delay and modify routes. Contributed treatment goals, clinical-safety quality and dependencies to the SD and SR models.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treatment resource-check worker behaviour and Release 2 form validation. Checked treatment authorisation, resource retry, clinical decision and treatment-modification scenarios, and supplied corresponding acceptance and test evidence.</w:t>
            </w:r>
          </w:p>
        </w:tc>
        <w:tc>
          <w:tcPr>
            <w:tcW w:type="dxa" w:w="936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19.00%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Wu Tongyu</w:t>
            </w:r>
          </w:p>
        </w:tc>
        <w:tc>
          <w:tcPr>
            <w:tcW w:type="dxa" w:w="12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member</w:t>
            </w:r>
          </w:p>
        </w:tc>
        <w:tc>
          <w:tcPr>
            <w:tcW w:type="dxa" w:w="33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Finance pathway in the strategic BPMN and operational BPMN. Defined funding, insurer approval, payment outcome, refund review, clinical override and payment-investigation forms; modelled funding, payment, confirmation-loss, duplicate-risk, refund and financial-clearance routes. Contributed finance goals, duplicate-charge quality and dependencies to the SD and SR models.</w:t>
            </w:r>
          </w:p>
        </w:tc>
        <w:tc>
          <w:tcPr>
            <w:tcW w:type="dxa" w:w="33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payment and refund worker behaviour and contributed the H2 application-data persistence work for financial and shared application records. Checked the financial-clearance hand-off before treatment, payment exception routes and save/retrieve persistence tests.</w:t>
            </w:r>
          </w:p>
        </w:tc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20.00%</w:t>
            </w:r>
          </w:p>
        </w:tc>
      </w:tr>
      <w:tr>
        <w:tc>
          <w:tcPr>
            <w:tcW w:type="dxa" w:w="1728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Yuying Xiao</w:t>
            </w:r>
          </w:p>
        </w:tc>
        <w:tc>
          <w:tcPr>
            <w:tcW w:type="dxa" w:w="1224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member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Enquiry, Clinic Letter and Monitoring pathway in the strategic BPMN and operational BPMN. Defined enquiry, enquiry-routing, letter administration, approval and monitoring forms; modelled administrative, finance and clinical enquiries, urgent escalation, letter approval, distribution and delayed-letter monitoring routes. Contributed communication goals and dependencies to the SD and SR models.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clinic-letter worker behaviour and Release 2 form validation for enquiries and letters. Checked routing, patient-update, clinical approval, delayed-letter and escalation scenarios, and supplied the related acceptance and test evidence.</w:t>
            </w:r>
          </w:p>
        </w:tc>
        <w:tc>
          <w:tcPr>
            <w:tcW w:type="dxa" w:w="936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19.00%</w:t>
            </w:r>
          </w:p>
        </w:tc>
      </w:tr>
    </w:tbl>
    <w:p>
      <w:pPr>
        <w:spacing w:before="200"/>
        <w:jc w:val="right"/>
      </w:pPr>
      <w:r>
        <w:rPr>
          <w:rFonts w:ascii="Aptos" w:hAnsi="Aptos"/>
          <w:b/>
          <w:color w:val="000000"/>
          <w:sz w:val="21"/>
        </w:rPr>
        <w:t>Total contribution: 100.00%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603 Group Contribution Record</dc:title>
  <dc:subject/>
  <dc:creator>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