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B366B">
      <w:pPr>
        <w:pStyle w:val="31"/>
        <w:jc w:val="center"/>
      </w:pPr>
      <w:r>
        <w:t>Release 1 Feedback Implementation Evidence</w:t>
      </w:r>
    </w:p>
    <w:p w14:paraId="3A02953A">
      <w:pPr>
        <w:jc w:val="center"/>
      </w:pPr>
      <w:r>
        <w:rPr>
          <w:i/>
        </w:rPr>
        <w:t>Hospital Patient Pathway BPMN Operational Models</w:t>
      </w:r>
    </w:p>
    <w:p w14:paraId="67486614">
      <w:pPr>
        <w:pStyle w:val="3"/>
        <w:spacing w:before="200" w:after="100"/>
      </w:pPr>
      <w:r>
        <w:rPr>
          <w:rFonts w:hint="eastAsia" w:eastAsia="宋体"/>
          <w:b/>
          <w:lang w:val="en-US" w:eastAsia="zh-CN"/>
        </w:rPr>
        <w:t xml:space="preserve"> </w:t>
      </w:r>
      <w:r>
        <w:t>Feedback Response Summary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112"/>
        <w:gridCol w:w="3168"/>
      </w:tblGrid>
      <w:tr w14:paraId="6AA6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340FA5E6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Teacher feedback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06E032C9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Implemented response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4A1A9143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Evidence and result</w:t>
            </w:r>
          </w:p>
        </w:tc>
      </w:tr>
      <w:tr w14:paraId="05369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0F9E000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1 Form validation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5FECFE4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Strengthened key identifier, narrative and numeric fields. Patient and referral IDs require input and length limits. Amounts are number fields with a minimum of zero. Treatment cycle count has a positive range. Required notes have minimum text length.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A8C2326">
            <w:pPr>
              <w:spacing w:after="40" w:line="240" w:lineRule="auto"/>
            </w:pPr>
            <w:r>
              <w:rPr>
                <w:rFonts w:hint="eastAsia" w:eastAsia="宋体"/>
                <w:b w:val="0"/>
                <w:color w:val="000000"/>
                <w:sz w:val="18"/>
                <w:lang w:val="en-US" w:eastAsia="zh-CN"/>
              </w:rPr>
              <w:t xml:space="preserve"> </w:t>
            </w:r>
            <w:r>
              <w:rPr>
                <w:b w:val="0"/>
                <w:color w:val="000000"/>
                <w:sz w:val="18"/>
              </w:rPr>
              <w:t>The added constraints prevent empty key fields and invalid negative or non-numeric money values before task completion.</w:t>
            </w:r>
          </w:p>
        </w:tc>
      </w:tr>
      <w:tr w14:paraId="1467A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BDF20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2 Merging gateways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AB8423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Marked existing multi-input decision points as converging gateways in Appointment, Finance and Clinic Letter Monitoring. Added Treatment Ready to Book as an explicit merge before treatment booking.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A52D4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Treatment model no longer sends the resource-cleared and finance-cleared paths directly into the booking task. Both paths now meet at one named gateway.</w:t>
            </w:r>
          </w:p>
        </w:tc>
      </w:tr>
      <w:tr w14:paraId="3B0B6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92C6F08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3 Forms and options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016F179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Bound every User Task in the five child BPMNs to a Camunda form. Added five scenario-specific forms for referral actions, appointment outcomes, treatment actions, enquiry routes and clinic-letter administration.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1C5993AD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Offline check confirms no unbound User Task and no BPMN form reference without a matching form definition.</w:t>
            </w:r>
          </w:p>
        </w:tc>
      </w:tr>
      <w:tr w14:paraId="1862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F9B2A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4 Data persistence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8E4D22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Added an embedded H2 application repository. Each worker retrieves the stored patient record using patientId, merges current task values, and saves the updated record after the job succeeds.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E186A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Manual persistence check saved referralId and appointmentDate for P-DEMO-001, then retrieved both values successfully.</w:t>
            </w:r>
          </w:p>
        </w:tc>
      </w:tr>
      <w:tr w14:paraId="7EFF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09199B1E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5 Persistence missing</w:t>
            </w:r>
          </w:p>
        </w:tc>
        <w:tc>
          <w:tcPr>
            <w:tcW w:w="51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71568A6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Implemented the same persistence repair as feedback item 4 and added a repository unit test source file for repeatable verification.</w:t>
            </w:r>
          </w:p>
        </w:tc>
        <w:tc>
          <w:tcPr>
            <w:tcW w:w="31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1060317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database is stored locally under 05 External Workers data when the workers are run. It is separate from short-lived Zeebe process-instance variables.</w:t>
            </w:r>
          </w:p>
        </w:tc>
      </w:tr>
    </w:tbl>
    <w:p w14:paraId="65046408">
      <w:pPr>
        <w:spacing w:after="80"/>
      </w:pPr>
    </w:p>
    <w:p w14:paraId="2F86D8EC">
      <w:pPr>
        <w:pStyle w:val="3"/>
        <w:spacing w:before="200" w:after="100"/>
      </w:pPr>
      <w:r>
        <w:t>Operational Model Changes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5400"/>
        <w:gridCol w:w="2736"/>
      </w:tblGrid>
      <w:tr w14:paraId="7D90A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4D8D0236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Child model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3DA4A965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What was repaired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3F3DA3BB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Main forms now used</w:t>
            </w:r>
          </w:p>
        </w:tc>
      </w:tr>
      <w:tr w14:paraId="50A3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24AE3854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Referral and Consultant Review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3553BF4A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Information checks and every referral outcome now have a form. Missing-information, accept, reject and redirect actions record a reason rather than relying on an empty task completion.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2626E645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Referral Intake, Consultant Review, Referral Action</w:t>
            </w:r>
          </w:p>
        </w:tc>
      </w:tr>
      <w:tr w14:paraId="475D8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4BB22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Appointment and Patient Communication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B505D8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Contact outcomes, no-slot handling, reschedule and urgent coordination now collect a recorded outcome and next action. Communication completion is explicitly a converging point.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5430B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Appointment Booking, Patient Contact, Appointment Resolution</w:t>
            </w:r>
          </w:p>
        </w:tc>
      </w:tr>
      <w:tr w14:paraId="40FEF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14F3A42D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Funding Payment and Refund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38420B8F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Amounts are numeric and non-negative. The funding/payment-cleared point is explicitly a converging gateway, while existing payment and refund outcomes remain separate.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40F886D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Funding Payment, Hospital Funding, Insurer Approval, Payment Outcome, Investigation, Refund forms</w:t>
            </w:r>
          </w:p>
        </w:tc>
      </w:tr>
      <w:tr w14:paraId="7439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DBDFE9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Treatment and Chemotherapy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3AADA9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two routes that make a patient ready for booking now meet at Treatment Ready to Book. Consent, delay, pending, unauthorised return and financial-clearance tasks record a treatment action and reason.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80BEB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Clinical Assessment, Treatment Request, Treatment Cycle Review, Treatment Action</w:t>
            </w:r>
          </w:p>
        </w:tc>
      </w:tr>
      <w:tr w14:paraId="5AA7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5624F47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Enquiry and Clinic Letter Monitoring</w:t>
            </w:r>
          </w:p>
        </w:tc>
        <w:tc>
          <w:tcPr>
            <w:tcW w:w="54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000FA224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Administrative, financial, clinical and urgent enquiry routes now collect an action record. The final administrative check has its own recipient-confirmation form. Monitoring completion remains an explicit merge.</w:t>
            </w:r>
          </w:p>
        </w:tc>
        <w:tc>
          <w:tcPr>
            <w:tcW w:w="27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79B08265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Enquiry, Enquiry Route, Clinic Letter, Approval, Monitoring, Clinic Letter Admin</w:t>
            </w:r>
          </w:p>
        </w:tc>
      </w:tr>
    </w:tbl>
    <w:p w14:paraId="5B2BDE1A">
      <w:pPr>
        <w:spacing w:after="80"/>
      </w:pPr>
    </w:p>
    <w:p w14:paraId="780B929B">
      <w:pPr>
        <w:pStyle w:val="3"/>
        <w:spacing w:before="200" w:after="100"/>
      </w:pPr>
      <w:r>
        <w:t>Validation Performed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24"/>
        <w:gridCol w:w="4176"/>
      </w:tblGrid>
      <w:tr w14:paraId="43F7A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02BECBD6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1A458213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vAlign w:val="center"/>
          </w:tcPr>
          <w:p w14:paraId="56656F61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What it proves</w:t>
            </w:r>
          </w:p>
        </w:tc>
      </w:tr>
      <w:tr w14:paraId="7EDD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48F603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Form and BPMN structural validation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C57433E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Passed: 24 form definitions and 5 child BPMN files.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1BB9B8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Every form is valid JSON; BPMN XML parses; sequence-flow references are consistent; every User Task has an existing form binding.</w:t>
            </w:r>
          </w:p>
        </w:tc>
      </w:tr>
      <w:tr w14:paraId="685E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8E7667E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Persistence repository read and write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062CD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Passed: P-DEMO-001 returned the saved referral and appointment values.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2D1683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prototype stores data independently of a single workflow instance and retrieves it by patient ID.</w:t>
            </w:r>
          </w:p>
        </w:tc>
      </w:tr>
      <w:tr w14:paraId="47B2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49B20F86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External worker source compilation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58F5FEF8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Passed: all external-worker Java source compiled with Java 17 against the cached Camunda and H2 dependencies.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vAlign w:val="center"/>
          </w:tcPr>
          <w:p w14:paraId="642B064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The persistence repository and the WorkerSupport integration compile together with the existing worker classes.</w:t>
            </w:r>
          </w:p>
        </w:tc>
      </w:tr>
      <w:tr w14:paraId="47A2B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958B42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Full engine deployment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EAE17C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Not claimed as passed in this evidence run because Maven was not available in the current terminal and no Camunda engine was started.</w:t>
            </w:r>
          </w:p>
        </w:tc>
        <w:tc>
          <w:tcPr>
            <w:tcW w:w="41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B49870">
            <w:pPr>
              <w:spacing w:after="40" w:line="240" w:lineRule="auto"/>
            </w:pPr>
            <w:r>
              <w:rPr>
                <w:b w:val="0"/>
                <w:color w:val="000000"/>
                <w:sz w:val="18"/>
              </w:rPr>
              <w:t>Before final submission, run mvn test and deploy the BPMNs/forms to the group Camunda environment for end-to-end evidence.</w:t>
            </w:r>
          </w:p>
        </w:tc>
      </w:tr>
    </w:tbl>
    <w:p w14:paraId="23364630">
      <w:pPr>
        <w:spacing w:after="80"/>
      </w:pPr>
    </w:p>
    <w:p w14:paraId="67975413">
      <w:pPr>
        <w:rPr>
          <w:rFonts w:hint="eastAsia" w:eastAsia="宋体"/>
          <w:lang w:val="en-US" w:eastAsia="zh-CN"/>
        </w:rPr>
      </w:pPr>
      <w:bookmarkStart w:id="0" w:name="_GoBack"/>
      <w:bookmarkEnd w:id="0"/>
      <w:r>
        <w:rPr>
          <w:rFonts w:hint="eastAsia" w:eastAsia="宋体"/>
          <w:b/>
          <w:lang w:val="en-US" w:eastAsia="zh-CN"/>
        </w:rPr>
        <w:t xml:space="preserve"> </w:t>
      </w:r>
    </w:p>
    <w:sectPr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404D3A"/>
    <w:rsid w:val="29BD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3222</Characters>
  <Lines>0</Lines>
  <Paragraphs>0</Paragraphs>
  <TotalTime>0</TotalTime>
  <ScaleCrop>false</ScaleCrop>
  <LinksUpToDate>false</LinksUpToDate>
  <CharactersWithSpaces>3695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going</cp:lastModifiedBy>
  <dcterms:modified xsi:type="dcterms:W3CDTF">2026-10-15T03:32:58Z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eyJoZGlkIjoiZmIwNTdjZmVlNzk5NDhkMjYwN2U5MzU5ZGE4Y2U3YTQiLCJ1c2VySWQiOiIxMTY5MTMyODIxIn0=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3C8628C6D58942C7BAA3C5FE34519ED8_12</vt:lpwstr>
  </property>
</Properties>
</file>