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38"/>
        </w:rPr>
        <w:t>403 Group Contribution Record</w:t>
      </w:r>
    </w:p>
    <w:p>
      <w:pPr>
        <w:spacing w:after="240"/>
        <w:jc w:val="center"/>
      </w:pPr>
      <w:r>
        <w:rPr>
          <w:rFonts w:ascii="Aptos" w:hAnsi="Aptos"/>
          <w:b w:val="0"/>
          <w:color w:val="000000"/>
          <w:sz w:val="21"/>
        </w:rPr>
        <w:t xml:space="preserve">The agreed contribution allocation for the group totals 100%.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224"/>
        <w:gridCol w:w="3312"/>
        <w:gridCol w:w="3312"/>
        <w:gridCol w:w="936"/>
      </w:tblGrid>
      <w:tr>
        <w:tc>
          <w:tcPr>
            <w:tcW w:type="dxa" w:w="1728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Group member</w:t>
            </w:r>
          </w:p>
        </w:tc>
        <w:tc>
          <w:tcPr>
            <w:tcW w:type="dxa" w:w="1224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Role</w:t>
            </w:r>
          </w:p>
        </w:tc>
        <w:tc>
          <w:tcPr>
            <w:tcW w:type="dxa" w:w="3312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403 portfolio contribution</w:t>
            </w:r>
          </w:p>
        </w:tc>
        <w:tc>
          <w:tcPr>
            <w:tcW w:type="dxa" w:w="3312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603 Release 2 contribution</w:t>
            </w:r>
          </w:p>
        </w:tc>
        <w:tc>
          <w:tcPr>
            <w:tcW w:type="dxa" w:w="936"/>
            <w:shd w:fill="1F4E78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1"/>
              </w:rPr>
              <w:t>Contribution</w:t>
            </w:r>
          </w:p>
        </w:tc>
      </w:tr>
      <w:tr>
        <w:tc>
          <w:tcPr>
            <w:tcW w:type="dxa" w:w="1728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Dengjinwang Deng</w:t>
            </w:r>
          </w:p>
        </w:tc>
        <w:tc>
          <w:tcPr>
            <w:tcW w:type="dxa" w:w="1224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Referral and Consultant Review pathway in the strategic BPMN and operational BPMN. Defined referral intake, supporting-information and consultant-review forms; modelled complete, incomplete, accept, reject, redirect and further-information routes. Contributed the referral actor's goals, tasks and dependencies to the SD and SR models.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the referral-validation worker and the Release 2 referral form validation. Checked the referral decision and retry routes, provided referral test scenarios and evidence, and linked the referral changes to the teacher-feedback response.</w:t>
            </w:r>
          </w:p>
        </w:tc>
        <w:tc>
          <w:tcPr>
            <w:tcW w:type="dxa" w:w="936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19.00%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Jiawei Wu</w:t>
            </w:r>
          </w:p>
        </w:tc>
        <w:tc>
          <w:tcPr>
            <w:tcW w:type="dxa" w:w="12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leader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Appointment and Patient Communication pathway in the strategic BPMN and operational BPMN. Defined booking, slot search, appointment confirmation and patient-contact forms; modelled suitable-slot, no-slot, urgent and rescheduling routes. Contributed appointment responsibilities and dependencies to the SD and SR models and the strategic-process integration.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appointment slot-search and correspondence worker behaviour. Checked the call-activity hand-off between the master process and child processes, prepared the integrated Release 2 BPMN and presentation evidence, and coordinated the cross-process acceptance scenarios.</w:t>
            </w:r>
          </w:p>
        </w:tc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23.00%</w:t>
            </w:r>
          </w:p>
        </w:tc>
      </w:tr>
      <w:tr>
        <w:tc>
          <w:tcPr>
            <w:tcW w:type="dxa" w:w="1728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Lin Jiaqiang</w:t>
            </w:r>
          </w:p>
        </w:tc>
        <w:tc>
          <w:tcPr>
            <w:tcW w:type="dxa" w:w="1224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Treatment and Chemotherapy pathway in the strategic BPMN and operational BPMN. Defined treatment request, consent, clinical assessment, resource-availability and cycle-review forms; modelled authorisation, unavailable-resource, continue, delay and modify routes. Contributed treatment goals, clinical-safety quality and dependencies to the SD and SR models.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treatment resource-check worker behaviour and Release 2 form validation. Checked treatment authorisation, resource retry, clinical decision and treatment-modification scenarios, and supplied corresponding acceptance and test evidence.</w:t>
            </w:r>
          </w:p>
        </w:tc>
        <w:tc>
          <w:tcPr>
            <w:tcW w:type="dxa" w:w="936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19.00%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Wu Tongyu</w:t>
            </w:r>
          </w:p>
        </w:tc>
        <w:tc>
          <w:tcPr>
            <w:tcW w:type="dxa" w:w="1224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Finance pathway in the strategic BPMN and operational BPMN. Defined funding, insurer approval, payment outcome, refund review, clinical override and payment-investigation forms; modelled funding, payment, confirmation-loss, duplicate-risk, refund and financial-clearance routes. Contributed finance goals, duplicate-charge quality and dependencies to the SD and SR models.</w:t>
            </w:r>
          </w:p>
        </w:tc>
        <w:tc>
          <w:tcPr>
            <w:tcW w:type="dxa" w:w="3312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payment and refund worker behaviour and contributed the H2 application-data persistence work for financial and shared application records. Checked the financial-clearance hand-off before treatment, payment exception routes and save/retrieve persistence tests.</w:t>
            </w:r>
          </w:p>
        </w:tc>
        <w:tc>
          <w:tcPr>
            <w:tcW w:type="dxa" w:w="93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20.00%</w:t>
            </w:r>
          </w:p>
        </w:tc>
      </w:tr>
      <w:tr>
        <w:tc>
          <w:tcPr>
            <w:tcW w:type="dxa" w:w="1728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Yuying Xiao</w:t>
            </w:r>
          </w:p>
        </w:tc>
        <w:tc>
          <w:tcPr>
            <w:tcW w:type="dxa" w:w="1224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Group member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Owned the Enquiry, Clinic Letter and Monitoring pathway in the strategic BPMN and operational BPMN. Defined enquiry, enquiry-routing, letter administration, approval and monitoring forms; modelled administrative, finance and clinical enquiries, urgent escalation, letter approval, distribution and delayed-letter monitoring routes. Contributed communication goals and dependencies to the SD and SR models.</w:t>
            </w:r>
          </w:p>
        </w:tc>
        <w:tc>
          <w:tcPr>
            <w:tcW w:type="dxa" w:w="3312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00000"/>
                <w:sz w:val="17"/>
              </w:rPr>
              <w:t>Implemented clinic-letter worker behaviour and Release 2 form validation for enquiries and letters. Checked routing, patient-update, clinical approval, delayed-letter and escalation scenarios, and supplied the related acceptance and test evidence.</w:t>
            </w:r>
          </w:p>
        </w:tc>
        <w:tc>
          <w:tcPr>
            <w:tcW w:type="dxa" w:w="936"/>
            <w:shd w:fill="F4F8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00000"/>
                <w:sz w:val="17"/>
              </w:rPr>
              <w:t>19.00%</w:t>
            </w:r>
          </w:p>
        </w:tc>
      </w:tr>
    </w:tbl>
    <w:p>
      <w:pPr>
        <w:spacing w:before="200"/>
        <w:jc w:val="right"/>
      </w:pPr>
      <w:r>
        <w:rPr>
          <w:rFonts w:ascii="Aptos" w:hAnsi="Aptos"/>
          <w:b/>
          <w:color w:val="000000"/>
          <w:sz w:val="21"/>
        </w:rPr>
        <w:t>Total contribution: 100.00%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403 Group Contribution Record</dc:title>
  <dc:subject/>
  <dc:creator>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