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肖宇莹咨询诊所信件与监控模块技术教学报告</w:t>
      </w:r>
      <w:r/>
    </w:p>
    <w:p>
      <w:r>
        <w:t>对象：肖宇莹及小组成员。范围：当前 BPMN、Camunda Form、Java worker、主流程与项目计划。</w:t>
      </w:r>
    </w:p>
    <w:p>
      <w:r>
        <w:t>这份报告说明本成员负责的子流程怎样与 Hospital 总流程连接、怎样由 Form 和 worker 驱动，以及怎样在答辩中准确解释其限制。</w:t>
      </w:r>
    </w:p>
    <w:p>
      <w:pPr>
        <w:pStyle w:val="Heading1"/>
      </w:pPr>
      <w:r>
        <w:t>一 总流程位置与合作</w:t>
      </w:r>
    </w:p>
    <w:p>
      <w:r>
        <w:t>治疗子流程结束后，主流程调用 Clinic Letter；本 BPMN 另有独立的 Patient Enquiry 消息入口。</w:t>
      </w:r>
    </w:p>
    <w:p>
      <w:r>
        <w:t>合作关系：邓金旺是本模块第二负责人，协助检查咨询和转诊的边界；肖宇莹也作为 Finance 第二负责人支持吴同宇。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流程 ID</w:t>
            </w:r>
          </w:p>
        </w:tc>
        <w:tc>
          <w:tcPr>
            <w:tcW w:type="dxa" w:w="28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本人负责模块</w:t>
            </w:r>
          </w:p>
        </w:tc>
        <w:tc>
          <w:tcPr>
            <w:tcW w:type="dxa" w:w="3969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运行边界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Process_EnquiryLetter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letter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治疗子流程结束后，主流程调用 Clinic Letter；本 BPMN 另有独立的 Patient Enquiry 消息入口。</w:t>
            </w:r>
          </w:p>
        </w:tc>
      </w:tr>
    </w:tbl>
    <w:p>
      <w:pPr>
        <w:pStyle w:val="Heading1"/>
      </w:pPr>
      <w:r>
        <w:t>二 当前运营图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7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当前可执行 BPMN 图。展示时可放大分支区域。</w:t>
      </w:r>
    </w:p>
    <w:p>
      <w:pPr>
        <w:pStyle w:val="Heading1"/>
      </w:pPr>
      <w:r>
        <w:t>三 Form 与路径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Enquiry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patientId、enquiryType、enquiryPriority、enquiryDetails 必填；urgentClinicalConcern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咨询分类和升级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Clinic Letter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patientId、clinicalContent、followUp、recipients、within7Days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信件准备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Clinic Letter Approval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patientId、approved、stillWithin7Days、correctionNote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临床审批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Clinic Letter Monitoring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patientId、clinicLetterCompleted、letterAgeBand、delayReason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延误提醒和升级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3402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变量或选择</w:t>
            </w:r>
          </w:p>
        </w:tc>
        <w:tc>
          <w:tcPr>
            <w:tcW w:type="dxa" w:w="3402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流程结果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咨询分类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ADMINISTRATIVE、FINANCIAL、CLINICAL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进入对应团队；紧急临床额外升级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审批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clinicLetterApproved=true 或 false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批准才发送；拒绝回到时间判断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延误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clinicLetterWithin7Days=false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进入监控与 P7D 定时器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年龄段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7D TO 1M、OVER 1M、OVER 3M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提醒顾问或逐级升级</w:t>
            </w:r>
          </w:p>
        </w:tc>
      </w:tr>
    </w:tbl>
    <w:p>
      <w:pPr>
        <w:pStyle w:val="Heading1"/>
      </w:pPr>
      <w:r>
        <w:t>四 Java worker 与人工责任</w:t>
      </w:r>
    </w:p>
    <w:p>
      <w:r>
        <w:t>EnquiryClinicLetterWorkers.java 注册 send clinic letter。它会先检查 clinicLetterApproved=true；未批准时 job 失败。批准后写 clinicLetterSent、分发参考号和日期。当前是模拟通信服务。</w:t>
      </w:r>
    </w:p>
    <w:p>
      <w:r>
        <w:t>所有自动 worker 由 HospitalExternalWorkers 启动并向 Zeebe 注册。worker 成功后回写流程变量；失败后递减 retries。没有 service task 的模块依然可通过人工任务和网关运行。</w:t>
      </w:r>
    </w:p>
    <w:p>
      <w:pPr>
        <w:pStyle w:val="Heading1"/>
      </w:pPr>
      <w:r>
        <w:t>五 如何跑与验收</w:t>
      </w:r>
    </w:p>
    <w:p>
      <w:r>
        <w:t>从 Process Hospital Master 启动。总图使用 deployment binding，所以六个 BPMN 和十四个 Form 必须同一次部署；在启动实例前先运行 Java worker。</w:t>
      </w:r>
    </w:p>
    <w:p>
      <w:r>
        <w:t>验证三种 enquiryType 和紧急升级；审批 false 时发送 job 为 0，true 时为 1；三个年龄段到正确提醒或升级。P7D 必须真实等待或使用可审计测试时钟。</w:t>
      </w:r>
    </w:p>
    <w:p>
      <w:pPr>
        <w:pStyle w:val="Heading1"/>
      </w:pPr>
      <w:r>
        <w:t>六 代码和运行场景详细说明</w:t>
      </w:r>
    </w:p>
    <w:p>
      <w:r>
        <w:t>EnquiryClinicLetterWorkers.java 在发送前再次检查 clinicLetterApproved。即使错误地走到 service task，未批准也会使 job 失败；批准后才写 CL 开头的分发参考号和日期。</w:t>
      </w:r>
    </w:p>
    <w:p>
      <w:pPr>
        <w:pStyle w:val="Heading1"/>
      </w:pPr>
      <w:r>
        <w:t>七 演示步骤与证据</w:t>
      </w:r>
    </w:p>
    <w:p>
      <w:r>
        <w:t>正常场景准备信件、审批 true 并观察发送变量。异常场景审批 false，验证发送 job 为 0。监控场景需真实等待 P7D 或使用可审计时钟，再分别选择三个 age band。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应保存的证据</w:t>
            </w:r>
          </w:p>
        </w:tc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为什么需要</w:t>
            </w:r>
          </w:p>
        </w:tc>
      </w:tr>
      <w:tr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主流程实例 ID 与子流程实例 ID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证明本成员模块由总图调用，而非单独运行</w:t>
            </w:r>
          </w:p>
        </w:tc>
      </w:tr>
      <w:tr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输入与变量历史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证明网关依据的是正确变量</w:t>
            </w:r>
          </w:p>
        </w:tc>
      </w:tr>
      <w:tr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worker 完成记录或人工任务历史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证明自动和人工步骤均实际流转</w:t>
            </w:r>
          </w:p>
        </w:tc>
      </w:tr>
      <w:tr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结束事件和 incident 状态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证明路径结束且没有运行错误</w:t>
            </w:r>
          </w:p>
        </w:tc>
      </w:tr>
    </w:tbl>
    <w:p>
      <w:pPr>
        <w:pStyle w:val="Heading1"/>
      </w:pPr>
      <w:r>
        <w:t>八 后续改进计划</w:t>
      </w:r>
    </w:p>
    <w:p>
      <w:r>
        <w:t>下一步建议由 consultation timestamp 自动计算七天 SLA，拒批后返回可编辑正文任务，并把年龄段从人工选择改为自动计算。</w:t>
      </w:r>
    </w:p>
    <w:p>
      <w:pPr>
        <w:pStyle w:val="Heading1"/>
      </w:pPr>
      <w:r>
        <w:t>九 答辩常见问题</w:t>
      </w:r>
    </w:p>
    <w:p>
      <w:r>
        <w:rPr>
          <w:b/>
        </w:rPr>
        <w:t xml:space="preserve">七天 SLA 自动保证吗？  </w:t>
      </w:r>
      <w:r>
        <w:t>不是。初始 seven day 状态和年龄段来自人工输入，未从咨询时间自动计算。</w:t>
      </w:r>
    </w:p>
    <w:p>
      <w:r>
        <w:rPr>
          <w:b/>
        </w:rPr>
        <w:t xml:space="preserve">拒绝后怎样改正文？  </w:t>
      </w:r>
      <w:r>
        <w:t>当前没有明确返回可编辑正文的任务，是下一轮应补的返工路径。</w:t>
      </w:r>
    </w:p>
    <w:p>
      <w:r>
        <w:rPr>
          <w:b/>
        </w:rPr>
        <w:t xml:space="preserve">为什么 worker 仍检查批准？  </w:t>
      </w:r>
      <w:r>
        <w:t>这是最后技术保护，避免错误配置导致未批准信件被标记为已发送。</w:t>
      </w:r>
    </w:p>
    <w:p>
      <w:pPr>
        <w:pStyle w:val="Heading1"/>
      </w:pPr>
      <w:r>
        <w:t>十 真实限制</w:t>
      </w:r>
    </w:p>
    <w:p>
      <w:r>
        <w:t>这是课程流程原型。静态引用已能核对，但完整总流程仍需在 Camunda 中运行并保存主子实例、变量历史、worker 日志和 incident 记录。模拟 worker 不代表真实医院或第三方系统已集成。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