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EDA97">
      <w:pPr>
        <w:pStyle w:val="31"/>
        <w:spacing w:after="220"/>
        <w:jc w:val="left"/>
        <w:sectPr>
          <w:footerReference r:id="rId5" w:type="default"/>
          <w:pgSz w:w="12240" w:h="15840"/>
          <w:pgMar w:top="936" w:right="1080" w:bottom="792" w:left="1080" w:header="720" w:footer="720" w:gutter="0"/>
          <w:cols w:space="720" w:num="1"/>
          <w:docGrid w:linePitch="360" w:charSpace="0"/>
        </w:sectPr>
      </w:pPr>
      <w:r>
        <w:rPr>
          <w:rFonts w:ascii="Aptos" w:hAnsi="Aptos"/>
          <w:b/>
          <w:color w:val="000000"/>
          <w:sz w:val="54"/>
        </w:rPr>
        <w:t xml:space="preserve">Hospital Patient Pathway Release </w:t>
      </w:r>
    </w:p>
    <w:p w14:paraId="55A87993">
      <w:pPr>
        <w:pStyle w:val="3"/>
        <w:spacing w:before="180" w:after="160"/>
      </w:pPr>
      <w:r>
        <w:rPr>
          <w:rFonts w:ascii="Aptos" w:hAnsi="Aptos"/>
          <w:b/>
          <w:color w:val="000000"/>
          <w:sz w:val="34"/>
        </w:rPr>
        <w:t>Strategic BPMN Model</w:t>
      </w:r>
    </w:p>
    <w:p w14:paraId="49B690C7">
      <w:pPr>
        <w:spacing w:after="160"/>
      </w:pPr>
      <w:r>
        <w:rPr>
          <w:rFonts w:ascii="Aptos" w:hAnsi="Aptos"/>
          <w:b w:val="0"/>
          <w:color w:val="52616B"/>
          <w:sz w:val="22"/>
        </w:rPr>
        <w:t>A high-level process model showing responsibilities, external interactions and the connection to the operational model.</w:t>
      </w:r>
    </w:p>
    <w:p w14:paraId="0275A15E">
      <w:pPr>
        <w:spacing w:after="60"/>
        <w:jc w:val="center"/>
      </w:pPr>
    </w:p>
    <w:p w14:paraId="19C9BA77">
      <w:pPr>
        <w:spacing w:after="0"/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-599440</wp:posOffset>
            </wp:positionH>
            <wp:positionV relativeFrom="paragraph">
              <wp:posOffset>16510</wp:posOffset>
            </wp:positionV>
            <wp:extent cx="10036810" cy="2696845"/>
            <wp:effectExtent l="0" t="0" r="635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368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/>
          <w:b w:val="0"/>
          <w:color w:val="52616B"/>
          <w:sz w:val="18"/>
        </w:rPr>
        <w:t>Figure 1  Strategic BPMN model for Release 1</w:t>
      </w:r>
    </w:p>
    <w:p w14:paraId="21114F94">
      <w:pPr>
        <w:sectPr>
          <w:footerReference r:id="rId6" w:type="default"/>
          <w:pgSz w:w="15840" w:h="12240" w:orient="landscape"/>
          <w:pgMar w:top="691" w:right="864" w:bottom="605" w:left="864" w:header="720" w:footer="720" w:gutter="0"/>
          <w:cols w:space="720" w:num="1"/>
          <w:docGrid w:linePitch="360" w:charSpace="0"/>
        </w:sectPr>
      </w:pPr>
    </w:p>
    <w:p w14:paraId="179D7385">
      <w:pPr>
        <w:pStyle w:val="3"/>
        <w:spacing w:before="180" w:after="160"/>
      </w:pPr>
      <w:r>
        <w:rPr>
          <w:rFonts w:ascii="Aptos" w:hAnsi="Aptos"/>
          <w:b/>
          <w:color w:val="000000"/>
          <w:sz w:val="34"/>
        </w:rPr>
        <w:t>i star Strategic Dependency Model</w:t>
      </w:r>
    </w:p>
    <w:p w14:paraId="15A4FD28">
      <w:pPr>
        <w:spacing w:after="160"/>
      </w:pPr>
      <w:r>
        <w:rPr>
          <w:rFonts w:ascii="Aptos" w:hAnsi="Aptos"/>
          <w:b w:val="0"/>
          <w:color w:val="52616B"/>
          <w:sz w:val="22"/>
        </w:rPr>
        <w:t>This presentation view makes the actor dependencies and dependency types readable. The complete SVG source model remains in the strategic-model folder.</w:t>
      </w:r>
    </w:p>
    <w:p w14:paraId="5A4C199F">
      <w:pPr>
        <w:spacing w:after="60"/>
        <w:jc w:val="center"/>
      </w:pPr>
      <w:r>
        <w:drawing>
          <wp:inline distT="0" distB="0" distL="114300" distR="114300">
            <wp:extent cx="7726045" cy="4345940"/>
            <wp:effectExtent l="0" t="0" r="6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66F2">
      <w:pPr>
        <w:spacing w:after="0"/>
        <w:jc w:val="center"/>
      </w:pPr>
      <w:r>
        <w:rPr>
          <w:rFonts w:ascii="Aptos" w:hAnsi="Aptos"/>
          <w:b w:val="0"/>
          <w:color w:val="52616B"/>
          <w:sz w:val="18"/>
        </w:rPr>
        <w:t>Figure 2  i star Strategic Dependency presentation view</w:t>
      </w:r>
    </w:p>
    <w:p w14:paraId="615FFF9F">
      <w:pPr>
        <w:sectPr>
          <w:footerReference r:id="rId7" w:type="default"/>
          <w:pgSz w:w="12240" w:h="15840" w:orient="landscape"/>
          <w:pgMar w:top="691" w:right="864" w:bottom="605" w:left="864" w:header="720" w:footer="720" w:gutter="0"/>
          <w:cols w:space="720" w:num="1"/>
          <w:docGrid w:linePitch="360" w:charSpace="0"/>
        </w:sectPr>
      </w:pPr>
    </w:p>
    <w:p w14:paraId="598AE2FB">
      <w:pPr>
        <w:pStyle w:val="3"/>
        <w:spacing w:before="180" w:after="160"/>
      </w:pPr>
      <w:r>
        <w:rPr>
          <w:rFonts w:ascii="Aptos" w:hAnsi="Aptos"/>
          <w:b/>
          <w:color w:val="000000"/>
          <w:sz w:val="34"/>
        </w:rPr>
        <w:t>i star Strategic Rationale Model</w:t>
      </w:r>
    </w:p>
    <w:p w14:paraId="26DDDC64">
      <w:pPr>
        <w:spacing w:after="160"/>
      </w:pPr>
      <w:r>
        <w:rPr>
          <w:rFonts w:ascii="Aptos" w:hAnsi="Aptos"/>
          <w:b w:val="0"/>
          <w:color w:val="52616B"/>
          <w:sz w:val="22"/>
        </w:rPr>
        <w:t>This presentation view makes goals, tasks and soft goals readable. The complete SVG source model remains in the strategic-model folder.</w:t>
      </w:r>
    </w:p>
    <w:p w14:paraId="1A97E8B4">
      <w:pPr>
        <w:spacing w:after="60"/>
        <w:jc w:val="center"/>
      </w:pPr>
      <w:r>
        <w:drawing>
          <wp:inline distT="0" distB="0" distL="114300" distR="114300">
            <wp:extent cx="7726045" cy="4345940"/>
            <wp:effectExtent l="0" t="0" r="63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518A">
      <w:pPr>
        <w:spacing w:after="0"/>
        <w:jc w:val="center"/>
      </w:pPr>
      <w:r>
        <w:rPr>
          <w:rFonts w:ascii="Aptos" w:hAnsi="Aptos"/>
          <w:b w:val="0"/>
          <w:color w:val="52616B"/>
          <w:sz w:val="18"/>
        </w:rPr>
        <w:t>Figure 3  i star Strategic Rationale presentation view</w:t>
      </w:r>
    </w:p>
    <w:p w14:paraId="733AFFB6">
      <w:pPr>
        <w:sectPr>
          <w:footerReference r:id="rId8" w:type="default"/>
          <w:pgSz w:w="15840" w:h="12240" w:orient="landscape"/>
          <w:pgMar w:top="691" w:right="864" w:bottom="605" w:left="864" w:header="720" w:footer="720" w:gutter="0"/>
          <w:cols w:space="720" w:num="1"/>
          <w:docGrid w:linePitch="360" w:charSpace="0"/>
        </w:sectPr>
      </w:pPr>
    </w:p>
    <w:p w14:paraId="5CA3F706">
      <w:pPr>
        <w:pStyle w:val="3"/>
        <w:spacing w:before="180" w:after="160"/>
      </w:pPr>
      <w:r>
        <w:rPr>
          <w:rFonts w:ascii="Aptos" w:hAnsi="Aptos"/>
          <w:b/>
          <w:color w:val="000000"/>
          <w:sz w:val="34"/>
        </w:rPr>
        <w:t>Original Operational BPMN Sub Processes</w:t>
      </w:r>
    </w:p>
    <w:p w14:paraId="7DB0BFB9">
      <w:pPr>
        <w:spacing w:after="180"/>
      </w:pPr>
      <w:r>
        <w:rPr>
          <w:rFonts w:ascii="Aptos" w:hAnsi="Aptos"/>
          <w:b w:val="0"/>
          <w:color w:val="52616B"/>
          <w:sz w:val="22"/>
        </w:rPr>
        <w:t>The following five domain models are the group’s original operational sub-processes. They are called by Hospital_Master_Process.bpmn and have been reorganised only by original owner folder.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4150"/>
        <w:gridCol w:w="2876"/>
      </w:tblGrid>
      <w:tr w14:paraId="749A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102A43"/>
            <w:vAlign w:val="center"/>
          </w:tcPr>
          <w:p w14:paraId="31A27D28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102A43"/>
            <w:vAlign w:val="center"/>
          </w:tcPr>
          <w:p w14:paraId="15BDFAEE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Original BPMN sub-process</w:t>
            </w:r>
          </w:p>
        </w:tc>
        <w:tc>
          <w:tcPr>
            <w:tcW w:w="302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102A43"/>
            <w:vAlign w:val="center"/>
          </w:tcPr>
          <w:p w14:paraId="274B8509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Owner folder</w:t>
            </w:r>
          </w:p>
        </w:tc>
      </w:tr>
      <w:tr w14:paraId="3E5D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696AE56F">
            <w:pPr>
              <w:spacing w:after="60" w:line="240" w:lineRule="auto"/>
            </w:pPr>
            <w:r>
              <w:rPr>
                <w:rFonts w:ascii="Aptos" w:hAnsi="Aptos"/>
                <w:b/>
                <w:color w:val="102A43"/>
                <w:sz w:val="19"/>
              </w:rPr>
              <w:t>Referral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79F28ED8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Referral Consultant Review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45E0E657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23084366 DENG JIN WANG</w:t>
            </w:r>
          </w:p>
        </w:tc>
      </w:tr>
      <w:tr w14:paraId="1FEF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EFE2A0D">
            <w:pPr>
              <w:spacing w:after="60" w:line="240" w:lineRule="auto"/>
            </w:pPr>
            <w:r>
              <w:rPr>
                <w:rFonts w:ascii="Aptos" w:hAnsi="Aptos"/>
                <w:b/>
                <w:color w:val="102A43"/>
                <w:sz w:val="19"/>
              </w:rPr>
              <w:t>Appointment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7E9DD1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Appointment Patient Communication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63A89EC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23084364 WU JIA WEI</w:t>
            </w:r>
          </w:p>
        </w:tc>
      </w:tr>
      <w:tr w14:paraId="3EFA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5E881D00">
            <w:pPr>
              <w:spacing w:after="60" w:line="240" w:lineRule="auto"/>
            </w:pPr>
            <w:r>
              <w:rPr>
                <w:rFonts w:ascii="Aptos" w:hAnsi="Aptos"/>
                <w:b/>
                <w:color w:val="102A43"/>
                <w:sz w:val="19"/>
              </w:rPr>
              <w:t>Finance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0934C9C9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Funding Payment Refund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01DCD8A7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23084362 WU TONG YU</w:t>
            </w:r>
          </w:p>
        </w:tc>
      </w:tr>
      <w:tr w14:paraId="17ED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BA133A">
            <w:pPr>
              <w:spacing w:after="60" w:line="240" w:lineRule="auto"/>
            </w:pPr>
            <w:r>
              <w:rPr>
                <w:rFonts w:ascii="Aptos" w:hAnsi="Aptos"/>
                <w:b/>
                <w:color w:val="102A43"/>
                <w:sz w:val="19"/>
              </w:rPr>
              <w:t>Treatment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90645D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Treatment Chemotherapy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A49E110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23084368 LIN JIA QIANG</w:t>
            </w:r>
          </w:p>
        </w:tc>
      </w:tr>
      <w:tr w14:paraId="0B50F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045B27D7">
            <w:pPr>
              <w:spacing w:after="60" w:line="240" w:lineRule="auto"/>
            </w:pPr>
            <w:r>
              <w:rPr>
                <w:rFonts w:ascii="Aptos" w:hAnsi="Aptos"/>
                <w:b/>
                <w:color w:val="102A43"/>
                <w:sz w:val="19"/>
              </w:rPr>
              <w:t>Enquiry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2C8743D1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Enquiry Clinic Letter Monitoring</w:t>
            </w:r>
          </w:p>
        </w:tc>
        <w:tc>
          <w:tcPr>
            <w:tcW w:w="325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  <w:insideH w:val="single" w:sz="6" w:space="0"/>
              <w:insideV w:val="single" w:sz="6" w:space="0"/>
            </w:tcBorders>
            <w:shd w:val="clear" w:color="auto" w:fill="EEF5FC"/>
            <w:vAlign w:val="center"/>
          </w:tcPr>
          <w:p w14:paraId="590F4982">
            <w:pPr>
              <w:spacing w:after="6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24000813 XIAO YU YING</w:t>
            </w:r>
          </w:p>
        </w:tc>
      </w:tr>
    </w:tbl>
    <w:p w14:paraId="7D6D4211">
      <w:pPr>
        <w:pStyle w:val="3"/>
        <w:spacing w:before="180" w:after="160"/>
      </w:pPr>
      <w:bookmarkStart w:id="0" w:name="_GoBack"/>
      <w:bookmarkEnd w:id="0"/>
      <w:r>
        <w:rPr>
          <w:rFonts w:ascii="Aptos" w:hAnsi="Aptos"/>
          <w:b/>
          <w:color w:val="000000"/>
          <w:sz w:val="34"/>
        </w:rPr>
        <w:t>Priorities</w:t>
      </w:r>
    </w:p>
    <w:p w14:paraId="3B1CC500">
      <w:pPr>
        <w:pStyle w:val="16"/>
        <w:numPr>
          <w:numId w:val="0"/>
        </w:numPr>
        <w:tabs>
          <w:tab w:val="clear" w:pos="360"/>
        </w:tabs>
        <w:spacing w:after="80"/>
        <w:ind w:left="360" w:leftChars="0" w:hanging="360" w:firstLineChars="0"/>
      </w:pPr>
      <w:r>
        <w:rPr>
          <w:rFonts w:ascii="Aptos" w:hAnsi="Aptos"/>
          <w:b w:val="0"/>
          <w:color w:val="000000"/>
          <w:sz w:val="21"/>
        </w:rPr>
        <w:t>Define an explicit rework path for pending or rejected funding.</w:t>
      </w:r>
    </w:p>
    <w:p w14:paraId="0120AB6C">
      <w:pPr>
        <w:pStyle w:val="16"/>
        <w:numPr>
          <w:numId w:val="0"/>
        </w:numPr>
        <w:tabs>
          <w:tab w:val="clear" w:pos="360"/>
        </w:tabs>
        <w:spacing w:after="80"/>
        <w:ind w:left="360" w:leftChars="0" w:hanging="360" w:firstLineChars="0"/>
      </w:pPr>
      <w:r>
        <w:rPr>
          <w:rFonts w:ascii="Aptos" w:hAnsi="Aptos"/>
          <w:b w:val="0"/>
          <w:color w:val="000000"/>
          <w:sz w:val="21"/>
        </w:rPr>
        <w:t>Record consent and information-completeness checks before treatment progresses.</w:t>
      </w:r>
    </w:p>
    <w:p w14:paraId="57727829">
      <w:pPr>
        <w:pStyle w:val="16"/>
        <w:numPr>
          <w:numId w:val="0"/>
        </w:numPr>
        <w:tabs>
          <w:tab w:val="clear" w:pos="360"/>
        </w:tabs>
        <w:spacing w:after="80"/>
        <w:ind w:left="360" w:leftChars="0" w:hanging="360" w:firstLineChars="0"/>
      </w:pPr>
      <w:r>
        <w:rPr>
          <w:rFonts w:ascii="Aptos" w:hAnsi="Aptos"/>
          <w:b w:val="0"/>
          <w:color w:val="000000"/>
          <w:sz w:val="21"/>
        </w:rPr>
        <w:t>Clarify appointment-to-treatment responsibility and status hand-off.</w:t>
      </w:r>
    </w:p>
    <w:p w14:paraId="54D13218">
      <w:pPr>
        <w:pStyle w:val="16"/>
        <w:numPr>
          <w:numId w:val="0"/>
        </w:numPr>
        <w:tabs>
          <w:tab w:val="clear" w:pos="360"/>
        </w:tabs>
        <w:spacing w:after="80"/>
        <w:ind w:left="360" w:leftChars="0" w:hanging="360" w:firstLineChars="0"/>
      </w:pPr>
      <w:r>
        <w:rPr>
          <w:rFonts w:ascii="Aptos" w:hAnsi="Aptos"/>
          <w:b w:val="0"/>
          <w:color w:val="000000"/>
          <w:sz w:val="21"/>
        </w:rPr>
        <w:t>Capture normal and exception runtime evidence after deployment.</w:t>
      </w:r>
    </w:p>
    <w:sectPr>
      <w:footerReference r:id="rId9" w:type="default"/>
      <w:pgSz w:w="11909" w:h="16834"/>
      <w:pgMar w:top="936" w:right="1080" w:bottom="792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DA3E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D7D0A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6873C">
    <w:pPr>
      <w:pStyle w:val="2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63487">
    <w:pPr>
      <w:pStyle w:val="24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114FC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F7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221</Words>
  <Characters>1337</Characters>
  <Lines>0</Lines>
  <Paragraphs>0</Paragraphs>
  <TotalTime>2</TotalTime>
  <ScaleCrop>false</ScaleCrop>
  <LinksUpToDate>false</LinksUpToDate>
  <CharactersWithSpaces>1542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going</cp:lastModifiedBy>
  <dcterms:modified xsi:type="dcterms:W3CDTF">2026-10-09T18:50:17Z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eyJoZGlkIjoiZmIwNTdjZmVlNzk5NDhkMjYwN2U5MzU5ZGE4Y2U3YTQiLCJ1c2VySWQiOiIxMTY5MTMyODIxIn0=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A4E7D4E2333544BCB08F25686EAF9192_12</vt:lpwstr>
  </property>
</Properties>
</file>