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Release 1 Strategic Analysis and Release 2 Improvement Proposal</w:t>
      </w:r>
    </w:p>
    <w:p>
      <w:pPr>
        <w:jc w:val="center"/>
      </w:pPr>
      <w:r>
        <w:rPr>
          <w:i/>
          <w:sz w:val="20"/>
        </w:rPr>
        <w:t>For Sprint Review on Wednesday 14 October 2026</w:t>
      </w:r>
    </w:p>
    <w:p>
      <w:r>
        <w:t>This pack distinguishes the current Release 1 from proposed Release 2 work. It is a review aid: every claim about Release 1 is tied to an inspectable model, form, worker or offline validation result.</w:t>
      </w:r>
    </w:p>
    <w:p>
      <w:pPr>
        <w:pStyle w:val="Heading1"/>
      </w:pPr>
      <w:r>
        <w:t>1 Scope and review boundary</w:t>
      </w:r>
    </w:p>
    <w:p>
      <w:r>
        <w:t>The strategic models show only functions that are present in the current Release 1 package. The detailed BPMN contains six executable processes: the integrated master process plus referral, appointment, finance, treatment, and enquiry/clinic-letter processes. The source package also contains Camunda Forms and seven Java external-worker job types. The diagrams below therefore describe the current increment, not the full case-study ambition.</w:t>
      </w:r>
    </w:p>
    <w:p>
      <w:pPr>
        <w:pStyle w:val="Heading1"/>
      </w:pPr>
      <w:r>
        <w:t>2 Strategic BPMN model of Release 1</w:t>
      </w:r>
    </w:p>
    <w:p>
      <w:pPr>
        <w:jc w:val="center"/>
      </w:pPr>
      <w:r>
        <w:drawing>
          <wp:inline xmlns:a="http://schemas.openxmlformats.org/drawingml/2006/main" xmlns:pic="http://schemas.openxmlformats.org/drawingml/2006/picture">
            <wp:extent cx="6217920" cy="1309450"/>
            <wp:docPr id="1" name="Picture 1"/>
            <wp:cNvGraphicFramePr>
              <a:graphicFrameLocks noChangeAspect="1"/>
            </wp:cNvGraphicFramePr>
            <a:graphic>
              <a:graphicData uri="http://schemas.openxmlformats.org/drawingml/2006/picture">
                <pic:pic>
                  <pic:nvPicPr>
                    <pic:cNvPr id="0" name="Strategic_BPMN_V1.png"/>
                    <pic:cNvPicPr/>
                  </pic:nvPicPr>
                  <pic:blipFill>
                    <a:blip r:embed="rId10"/>
                    <a:stretch>
                      <a:fillRect/>
                    </a:stretch>
                  </pic:blipFill>
                  <pic:spPr>
                    <a:xfrm>
                      <a:off x="0" y="0"/>
                      <a:ext cx="6217920" cy="1309450"/>
                    </a:xfrm>
                    <a:prstGeom prst="rect"/>
                  </pic:spPr>
                </pic:pic>
              </a:graphicData>
            </a:graphic>
          </wp:inline>
        </w:drawing>
      </w:r>
    </w:p>
    <w:p>
      <w:pPr>
        <w:jc w:val="center"/>
      </w:pPr>
      <w:r>
        <w:rPr>
          <w:i/>
          <w:sz w:val="18"/>
        </w:rPr>
        <w:t>Figure 1. High-level stages supported by the current Release 1.</w:t>
      </w:r>
    </w:p>
    <w:p>
      <w:pPr>
        <w:pStyle w:val="Heading1"/>
      </w:pPr>
      <w:r>
        <w:t>3 i star Strategic Dependency model</w:t>
      </w:r>
    </w:p>
    <w:p>
      <w:r>
        <w:t>Dependency labels identify the depender, dependee and the needed goal, task or resource. “Simulated External Services” is deliberately shown as a distinct actor because the workers are demonstrations rather than production integrations.</w:t>
      </w:r>
    </w:p>
    <w:p>
      <w:pPr>
        <w:jc w:val="center"/>
      </w:pPr>
      <w:r>
        <w:drawing>
          <wp:inline xmlns:a="http://schemas.openxmlformats.org/drawingml/2006/main" xmlns:pic="http://schemas.openxmlformats.org/drawingml/2006/picture">
            <wp:extent cx="6217920" cy="1372374"/>
            <wp:docPr id="2" name="Picture 2"/>
            <wp:cNvGraphicFramePr>
              <a:graphicFrameLocks noChangeAspect="1"/>
            </wp:cNvGraphicFramePr>
            <a:graphic>
              <a:graphicData uri="http://schemas.openxmlformats.org/drawingml/2006/picture">
                <pic:pic>
                  <pic:nvPicPr>
                    <pic:cNvPr id="0" name="Strategic_Dependency_V1.png"/>
                    <pic:cNvPicPr/>
                  </pic:nvPicPr>
                  <pic:blipFill>
                    <a:blip r:embed="rId11"/>
                    <a:stretch>
                      <a:fillRect/>
                    </a:stretch>
                  </pic:blipFill>
                  <pic:spPr>
                    <a:xfrm>
                      <a:off x="0" y="0"/>
                      <a:ext cx="6217920" cy="1372374"/>
                    </a:xfrm>
                    <a:prstGeom prst="rect"/>
                  </pic:spPr>
                </pic:pic>
              </a:graphicData>
            </a:graphic>
          </wp:inline>
        </w:drawing>
      </w:r>
    </w:p>
    <w:p>
      <w:pPr>
        <w:jc w:val="center"/>
      </w:pPr>
      <w:r>
        <w:rPr>
          <w:i/>
          <w:sz w:val="18"/>
        </w:rPr>
        <w:t>Figure 2. Release 1 actor dependencies.</w:t>
      </w:r>
    </w:p>
    <w:p>
      <w:pPr>
        <w:pStyle w:val="Heading1"/>
      </w:pPr>
      <w:r>
        <w:t>4 i star Strategic Rationale model</w:t>
      </w:r>
    </w:p>
    <w:p>
      <w:r>
        <w:t>The SR model exposes why activities are separated. Clinical decision-making remains with the consultant and clinical team; Finance controls financial clearance; administration performs coordination and communication. The softgoals make quality trade-offs visible.</w:t>
      </w:r>
    </w:p>
    <w:p>
      <w:pPr>
        <w:jc w:val="center"/>
      </w:pPr>
      <w:r>
        <w:drawing>
          <wp:inline xmlns:a="http://schemas.openxmlformats.org/drawingml/2006/main" xmlns:pic="http://schemas.openxmlformats.org/drawingml/2006/picture">
            <wp:extent cx="6217920" cy="4578000"/>
            <wp:docPr id="3" name="Picture 3"/>
            <wp:cNvGraphicFramePr>
              <a:graphicFrameLocks noChangeAspect="1"/>
            </wp:cNvGraphicFramePr>
            <a:graphic>
              <a:graphicData uri="http://schemas.openxmlformats.org/drawingml/2006/picture">
                <pic:pic>
                  <pic:nvPicPr>
                    <pic:cNvPr id="0" name="Strategic_Rationale_V1.png"/>
                    <pic:cNvPicPr/>
                  </pic:nvPicPr>
                  <pic:blipFill>
                    <a:blip r:embed="rId12"/>
                    <a:stretch>
                      <a:fillRect/>
                    </a:stretch>
                  </pic:blipFill>
                  <pic:spPr>
                    <a:xfrm>
                      <a:off x="0" y="0"/>
                      <a:ext cx="6217920" cy="4578000"/>
                    </a:xfrm>
                    <a:prstGeom prst="rect"/>
                  </pic:spPr>
                </pic:pic>
              </a:graphicData>
            </a:graphic>
          </wp:inline>
        </w:drawing>
      </w:r>
    </w:p>
    <w:p>
      <w:pPr>
        <w:jc w:val="center"/>
      </w:pPr>
      <w:r>
        <w:rPr>
          <w:i/>
          <w:sz w:val="18"/>
        </w:rPr>
        <w:t>Figure 3. Goals, tasks, resources and softgoals behind Release 1.</w:t>
      </w:r>
    </w:p>
    <w:p>
      <w:pPr>
        <w:pStyle w:val="Heading1"/>
      </w:pPr>
      <w:r>
        <w:t>5 Evidence-based evaluation of Release 1</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Borders>
              <w:top w:val="single" w:sz="4" w:color="D9D9D9"/>
              <w:left w:val="single" w:sz="4" w:color="D9D9D9"/>
              <w:bottom w:val="single" w:sz="4" w:color="D9D9D9"/>
              <w:right w:val="single" w:sz="4" w:color="D9D9D9"/>
              <w:insideH w:val="single" w:sz="4" w:color="D9D9D9"/>
              <w:insideV w:val="single" w:sz="4" w:color="D9D9D9"/>
            </w:tcBorders>
            <w:shd w:fill="1F4E79"/>
          </w:tcPr>
          <w:p>
            <w:pPr>
              <w:spacing w:after="40"/>
            </w:pPr>
            <w:r>
              <w:rPr>
                <w:color w:val="FFFFFF"/>
              </w:rPr>
            </w:r>
            <w:r>
              <w:rPr>
                <w:rFonts w:ascii="Arial" w:hAnsi="Arial" w:eastAsia="Microsoft YaHei"/>
                <w:b/>
                <w:color w:val="FFFFFF"/>
                <w:sz w:val="18"/>
              </w:rPr>
              <w:t>Area</w:t>
            </w:r>
          </w:p>
        </w:tc>
        <w:tc>
          <w:tcPr>
            <w:tcW w:type="dxa" w:w="2556"/>
            <w:vAlign w:val="center"/>
            <w:tcBorders>
              <w:top w:val="single" w:sz="4" w:color="D9D9D9"/>
              <w:left w:val="single" w:sz="4" w:color="D9D9D9"/>
              <w:bottom w:val="single" w:sz="4" w:color="D9D9D9"/>
              <w:right w:val="single" w:sz="4" w:color="D9D9D9"/>
              <w:insideH w:val="single" w:sz="4" w:color="D9D9D9"/>
              <w:insideV w:val="single" w:sz="4" w:color="D9D9D9"/>
            </w:tcBorders>
            <w:shd w:fill="1F4E79"/>
          </w:tcPr>
          <w:p>
            <w:pPr>
              <w:spacing w:after="40"/>
            </w:pPr>
            <w:r>
              <w:rPr>
                <w:color w:val="FFFFFF"/>
              </w:rPr>
            </w:r>
            <w:r>
              <w:rPr>
                <w:rFonts w:ascii="Arial" w:hAnsi="Arial" w:eastAsia="Microsoft YaHei"/>
                <w:b/>
                <w:color w:val="FFFFFF"/>
                <w:sz w:val="18"/>
              </w:rPr>
              <w:t>Release 1 evidence</w:t>
            </w:r>
          </w:p>
        </w:tc>
        <w:tc>
          <w:tcPr>
            <w:tcW w:type="dxa" w:w="2556"/>
            <w:vAlign w:val="center"/>
            <w:tcBorders>
              <w:top w:val="single" w:sz="4" w:color="D9D9D9"/>
              <w:left w:val="single" w:sz="4" w:color="D9D9D9"/>
              <w:bottom w:val="single" w:sz="4" w:color="D9D9D9"/>
              <w:right w:val="single" w:sz="4" w:color="D9D9D9"/>
              <w:insideH w:val="single" w:sz="4" w:color="D9D9D9"/>
              <w:insideV w:val="single" w:sz="4" w:color="D9D9D9"/>
            </w:tcBorders>
            <w:shd w:fill="1F4E79"/>
          </w:tcPr>
          <w:p>
            <w:pPr>
              <w:spacing w:after="40"/>
            </w:pPr>
            <w:r>
              <w:rPr>
                <w:color w:val="FFFFFF"/>
              </w:rPr>
            </w:r>
            <w:r>
              <w:rPr>
                <w:rFonts w:ascii="Arial" w:hAnsi="Arial" w:eastAsia="Microsoft YaHei"/>
                <w:b/>
                <w:color w:val="FFFFFF"/>
                <w:sz w:val="18"/>
              </w:rPr>
              <w:t>Strength</w:t>
            </w:r>
          </w:p>
        </w:tc>
        <w:tc>
          <w:tcPr>
            <w:tcW w:type="dxa" w:w="2556"/>
            <w:vAlign w:val="center"/>
            <w:tcBorders>
              <w:top w:val="single" w:sz="4" w:color="D9D9D9"/>
              <w:left w:val="single" w:sz="4" w:color="D9D9D9"/>
              <w:bottom w:val="single" w:sz="4" w:color="D9D9D9"/>
              <w:right w:val="single" w:sz="4" w:color="D9D9D9"/>
              <w:insideH w:val="single" w:sz="4" w:color="D9D9D9"/>
              <w:insideV w:val="single" w:sz="4" w:color="D9D9D9"/>
            </w:tcBorders>
            <w:shd w:fill="1F4E79"/>
          </w:tcPr>
          <w:p>
            <w:pPr>
              <w:spacing w:after="40"/>
            </w:pPr>
            <w:r>
              <w:rPr>
                <w:color w:val="FFFFFF"/>
              </w:rPr>
            </w:r>
            <w:r>
              <w:rPr>
                <w:rFonts w:ascii="Arial" w:hAnsi="Arial" w:eastAsia="Microsoft YaHei"/>
                <w:b/>
                <w:color w:val="FFFFFF"/>
                <w:sz w:val="18"/>
              </w:rPr>
              <w:t>Limitation or gap to validate</w:t>
            </w:r>
          </w:p>
        </w:tc>
      </w:tr>
      <w:tr>
        <w:tc>
          <w:tcPr>
            <w:tcW w:type="dxa" w:w="25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eastAsia="Microsoft YaHei"/>
                <w:b w:val="0"/>
                <w:sz w:val="18"/>
              </w:rPr>
              <w:t>Referral and clinical decision</w:t>
            </w:r>
          </w:p>
        </w:tc>
        <w:tc>
          <w:tcPr>
            <w:tcW w:type="dxa" w:w="25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eastAsia="Microsoft YaHei"/>
                <w:b w:val="0"/>
                <w:sz w:val="18"/>
              </w:rPr>
              <w:t>Process_Referral; referral intake and consultant-review forms; validate-referral-reference worker</w:t>
            </w:r>
          </w:p>
        </w:tc>
        <w:tc>
          <w:tcPr>
            <w:tcW w:type="dxa" w:w="25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eastAsia="Microsoft YaHei"/>
                <w:b w:val="0"/>
                <w:sz w:val="18"/>
              </w:rPr>
              <w:t>Referral is validated before consultant decision and an acceptance decision gates appointment progression.</w:t>
            </w:r>
          </w:p>
        </w:tc>
        <w:tc>
          <w:tcPr>
            <w:tcW w:type="dxa" w:w="25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eastAsia="Microsoft YaHei"/>
                <w:b w:val="0"/>
                <w:sz w:val="18"/>
              </w:rPr>
              <w:t>No evidence yet of a live external referral source or identity/RBAC enforcement.</w:t>
            </w:r>
          </w:p>
        </w:tc>
      </w:tr>
      <w:tr>
        <w:tc>
          <w:tcPr>
            <w:tcW w:type="dxa" w:w="2556"/>
            <w:vAlign w:val="center"/>
            <w:tcBorders>
              <w:top w:val="single" w:sz="4" w:color="D9D9D9"/>
              <w:left w:val="single" w:sz="4" w:color="D9D9D9"/>
              <w:bottom w:val="single" w:sz="4" w:color="D9D9D9"/>
              <w:right w:val="single" w:sz="4" w:color="D9D9D9"/>
              <w:insideH w:val="single" w:sz="4" w:color="D9D9D9"/>
              <w:insideV w:val="single" w:sz="4" w:color="D9D9D9"/>
            </w:tcBorders>
            <w:shd w:fill="F6F9FC"/>
          </w:tcPr>
          <w:p>
            <w:pPr>
              <w:spacing w:after="40"/>
            </w:pPr>
            <w:r/>
            <w:r>
              <w:rPr>
                <w:rFonts w:ascii="Arial" w:hAnsi="Arial" w:eastAsia="Microsoft YaHei"/>
                <w:b w:val="0"/>
                <w:sz w:val="18"/>
              </w:rPr>
              <w:t>Appointment and communication</w:t>
            </w:r>
          </w:p>
        </w:tc>
        <w:tc>
          <w:tcPr>
            <w:tcW w:type="dxa" w:w="2556"/>
            <w:vAlign w:val="center"/>
            <w:tcBorders>
              <w:top w:val="single" w:sz="4" w:color="D9D9D9"/>
              <w:left w:val="single" w:sz="4" w:color="D9D9D9"/>
              <w:bottom w:val="single" w:sz="4" w:color="D9D9D9"/>
              <w:right w:val="single" w:sz="4" w:color="D9D9D9"/>
              <w:insideH w:val="single" w:sz="4" w:color="D9D9D9"/>
              <w:insideV w:val="single" w:sz="4" w:color="D9D9D9"/>
            </w:tcBorders>
            <w:shd w:fill="F6F9FC"/>
          </w:tcPr>
          <w:p>
            <w:pPr>
              <w:spacing w:after="40"/>
            </w:pPr>
            <w:r/>
            <w:r>
              <w:rPr>
                <w:rFonts w:ascii="Arial" w:hAnsi="Arial" w:eastAsia="Microsoft YaHei"/>
                <w:b w:val="0"/>
                <w:sz w:val="18"/>
              </w:rPr>
              <w:t>Process_Appointment; booking/contact forms; scheduling and letter workers</w:t>
            </w:r>
          </w:p>
        </w:tc>
        <w:tc>
          <w:tcPr>
            <w:tcW w:type="dxa" w:w="2556"/>
            <w:vAlign w:val="center"/>
            <w:tcBorders>
              <w:top w:val="single" w:sz="4" w:color="D9D9D9"/>
              <w:left w:val="single" w:sz="4" w:color="D9D9D9"/>
              <w:bottom w:val="single" w:sz="4" w:color="D9D9D9"/>
              <w:right w:val="single" w:sz="4" w:color="D9D9D9"/>
              <w:insideH w:val="single" w:sz="4" w:color="D9D9D9"/>
              <w:insideV w:val="single" w:sz="4" w:color="D9D9D9"/>
            </w:tcBorders>
            <w:shd w:fill="F6F9FC"/>
          </w:tcPr>
          <w:p>
            <w:pPr>
              <w:spacing w:after="40"/>
            </w:pPr>
            <w:r/>
            <w:r>
              <w:rPr>
                <w:rFonts w:ascii="Arial" w:hAnsi="Arial" w:eastAsia="Microsoft YaHei"/>
                <w:b w:val="0"/>
                <w:sz w:val="18"/>
              </w:rPr>
              <w:t>Slot availability, two-week contact rule, no-slot and contact outcomes are modelled.</w:t>
            </w:r>
          </w:p>
        </w:tc>
        <w:tc>
          <w:tcPr>
            <w:tcW w:type="dxa" w:w="2556"/>
            <w:vAlign w:val="center"/>
            <w:tcBorders>
              <w:top w:val="single" w:sz="4" w:color="D9D9D9"/>
              <w:left w:val="single" w:sz="4" w:color="D9D9D9"/>
              <w:bottom w:val="single" w:sz="4" w:color="D9D9D9"/>
              <w:right w:val="single" w:sz="4" w:color="D9D9D9"/>
              <w:insideH w:val="single" w:sz="4" w:color="D9D9D9"/>
              <w:insideV w:val="single" w:sz="4" w:color="D9D9D9"/>
            </w:tcBorders>
            <w:shd w:fill="F6F9FC"/>
          </w:tcPr>
          <w:p>
            <w:pPr>
              <w:spacing w:after="40"/>
            </w:pPr>
            <w:r/>
            <w:r>
              <w:rPr>
                <w:rFonts w:ascii="Arial" w:hAnsi="Arial" w:eastAsia="Microsoft YaHei"/>
                <w:b w:val="0"/>
                <w:sz w:val="18"/>
              </w:rPr>
              <w:t>Scheduling and correspondence services are explicitly simulated; end-to-end runtime proof remains required.</w:t>
            </w:r>
          </w:p>
        </w:tc>
      </w:tr>
      <w:tr>
        <w:tc>
          <w:tcPr>
            <w:tcW w:type="dxa" w:w="25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eastAsia="Microsoft YaHei"/>
                <w:b w:val="0"/>
                <w:sz w:val="18"/>
              </w:rPr>
              <w:t>Finance and safety</w:t>
            </w:r>
          </w:p>
        </w:tc>
        <w:tc>
          <w:tcPr>
            <w:tcW w:type="dxa" w:w="25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eastAsia="Microsoft YaHei"/>
                <w:b w:val="0"/>
                <w:sz w:val="18"/>
              </w:rPr>
              <w:t>Process_Finance; payment/refund workers; five added finance outcome forms</w:t>
            </w:r>
          </w:p>
        </w:tc>
        <w:tc>
          <w:tcPr>
            <w:tcW w:type="dxa" w:w="25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eastAsia="Microsoft YaHei"/>
                <w:b w:val="0"/>
                <w:sz w:val="18"/>
              </w:rPr>
              <w:t>Payment status branches include confirmation loss and duplicate-risk investigation; refund is approval-gated.</w:t>
            </w:r>
          </w:p>
        </w:tc>
        <w:tc>
          <w:tcPr>
            <w:tcW w:type="dxa" w:w="25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eastAsia="Microsoft YaHei"/>
                <w:b w:val="0"/>
                <w:sz w:val="18"/>
              </w:rPr>
              <w:t>No persistent audit store or verified payment-provider integration is in this release.</w:t>
            </w:r>
          </w:p>
        </w:tc>
      </w:tr>
      <w:tr>
        <w:tc>
          <w:tcPr>
            <w:tcW w:type="dxa" w:w="2556"/>
            <w:vAlign w:val="center"/>
            <w:tcBorders>
              <w:top w:val="single" w:sz="4" w:color="D9D9D9"/>
              <w:left w:val="single" w:sz="4" w:color="D9D9D9"/>
              <w:bottom w:val="single" w:sz="4" w:color="D9D9D9"/>
              <w:right w:val="single" w:sz="4" w:color="D9D9D9"/>
              <w:insideH w:val="single" w:sz="4" w:color="D9D9D9"/>
              <w:insideV w:val="single" w:sz="4" w:color="D9D9D9"/>
            </w:tcBorders>
            <w:shd w:fill="F6F9FC"/>
          </w:tcPr>
          <w:p>
            <w:pPr>
              <w:spacing w:after="40"/>
            </w:pPr>
            <w:r/>
            <w:r>
              <w:rPr>
                <w:rFonts w:ascii="Arial" w:hAnsi="Arial" w:eastAsia="Microsoft YaHei"/>
                <w:b w:val="0"/>
                <w:sz w:val="18"/>
              </w:rPr>
              <w:t>Treatment</w:t>
            </w:r>
          </w:p>
        </w:tc>
        <w:tc>
          <w:tcPr>
            <w:tcW w:type="dxa" w:w="2556"/>
            <w:vAlign w:val="center"/>
            <w:tcBorders>
              <w:top w:val="single" w:sz="4" w:color="D9D9D9"/>
              <w:left w:val="single" w:sz="4" w:color="D9D9D9"/>
              <w:bottom w:val="single" w:sz="4" w:color="D9D9D9"/>
              <w:right w:val="single" w:sz="4" w:color="D9D9D9"/>
              <w:insideH w:val="single" w:sz="4" w:color="D9D9D9"/>
              <w:insideV w:val="single" w:sz="4" w:color="D9D9D9"/>
            </w:tcBorders>
            <w:shd w:fill="F6F9FC"/>
          </w:tcPr>
          <w:p>
            <w:pPr>
              <w:spacing w:after="40"/>
            </w:pPr>
            <w:r/>
            <w:r>
              <w:rPr>
                <w:rFonts w:ascii="Arial" w:hAnsi="Arial" w:eastAsia="Microsoft YaHei"/>
                <w:b w:val="0"/>
                <w:sz w:val="18"/>
              </w:rPr>
              <w:t>Process_Treatment; consent/request/cycle forms; resource worker</w:t>
            </w:r>
          </w:p>
        </w:tc>
        <w:tc>
          <w:tcPr>
            <w:tcW w:type="dxa" w:w="2556"/>
            <w:vAlign w:val="center"/>
            <w:tcBorders>
              <w:top w:val="single" w:sz="4" w:color="D9D9D9"/>
              <w:left w:val="single" w:sz="4" w:color="D9D9D9"/>
              <w:bottom w:val="single" w:sz="4" w:color="D9D9D9"/>
              <w:right w:val="single" w:sz="4" w:color="D9D9D9"/>
              <w:insideH w:val="single" w:sz="4" w:color="D9D9D9"/>
              <w:insideV w:val="single" w:sz="4" w:color="D9D9D9"/>
            </w:tcBorders>
            <w:shd w:fill="F6F9FC"/>
          </w:tcPr>
          <w:p>
            <w:pPr>
              <w:spacing w:after="40"/>
            </w:pPr>
            <w:r/>
            <w:r>
              <w:rPr>
                <w:rFonts w:ascii="Arial" w:hAnsi="Arial" w:eastAsia="Microsoft YaHei"/>
                <w:b w:val="0"/>
                <w:sz w:val="18"/>
              </w:rPr>
              <w:t>Human clinical judgement and resource availability are separated from automation.</w:t>
            </w:r>
          </w:p>
        </w:tc>
        <w:tc>
          <w:tcPr>
            <w:tcW w:type="dxa" w:w="2556"/>
            <w:vAlign w:val="center"/>
            <w:tcBorders>
              <w:top w:val="single" w:sz="4" w:color="D9D9D9"/>
              <w:left w:val="single" w:sz="4" w:color="D9D9D9"/>
              <w:bottom w:val="single" w:sz="4" w:color="D9D9D9"/>
              <w:right w:val="single" w:sz="4" w:color="D9D9D9"/>
              <w:insideH w:val="single" w:sz="4" w:color="D9D9D9"/>
              <w:insideV w:val="single" w:sz="4" w:color="D9D9D9"/>
            </w:tcBorders>
            <w:shd w:fill="F6F9FC"/>
          </w:tcPr>
          <w:p>
            <w:pPr>
              <w:spacing w:after="40"/>
            </w:pPr>
            <w:r/>
            <w:r>
              <w:rPr>
                <w:rFonts w:ascii="Arial" w:hAnsi="Arial" w:eastAsia="Microsoft YaHei"/>
                <w:b w:val="0"/>
                <w:sz w:val="18"/>
              </w:rPr>
              <w:t>Treatment authorisation is captured as workflow data; stronger role-based authorisation needs a Release 2 design.</w:t>
            </w:r>
          </w:p>
        </w:tc>
      </w:tr>
      <w:tr>
        <w:tc>
          <w:tcPr>
            <w:tcW w:type="dxa" w:w="25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eastAsia="Microsoft YaHei"/>
                <w:b w:val="0"/>
                <w:sz w:val="18"/>
              </w:rPr>
              <w:t>Clinic letters and monitoring</w:t>
            </w:r>
          </w:p>
        </w:tc>
        <w:tc>
          <w:tcPr>
            <w:tcW w:type="dxa" w:w="25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eastAsia="Microsoft YaHei"/>
                <w:b w:val="0"/>
                <w:sz w:val="18"/>
              </w:rPr>
              <w:t>Process_EnquiryLetter; approval/monitoring forms; letter worker</w:t>
            </w:r>
          </w:p>
        </w:tc>
        <w:tc>
          <w:tcPr>
            <w:tcW w:type="dxa" w:w="25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eastAsia="Microsoft YaHei"/>
                <w:b w:val="0"/>
                <w:sz w:val="18"/>
              </w:rPr>
              <w:t>Clinical approval occurs before distribution and monitoring paths are represented.</w:t>
            </w:r>
          </w:p>
        </w:tc>
        <w:tc>
          <w:tcPr>
            <w:tcW w:type="dxa" w:w="25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eastAsia="Microsoft YaHei"/>
                <w:b w:val="0"/>
                <w:sz w:val="18"/>
              </w:rPr>
              <w:t>Timed reminders/escalations need broker runtime demonstration, and delivery is simulated.</w:t>
            </w:r>
          </w:p>
        </w:tc>
      </w:tr>
      <w:tr>
        <w:tc>
          <w:tcPr>
            <w:tcW w:type="dxa" w:w="2556"/>
            <w:vAlign w:val="center"/>
            <w:tcBorders>
              <w:top w:val="single" w:sz="4" w:color="D9D9D9"/>
              <w:left w:val="single" w:sz="4" w:color="D9D9D9"/>
              <w:bottom w:val="single" w:sz="4" w:color="D9D9D9"/>
              <w:right w:val="single" w:sz="4" w:color="D9D9D9"/>
              <w:insideH w:val="single" w:sz="4" w:color="D9D9D9"/>
              <w:insideV w:val="single" w:sz="4" w:color="D9D9D9"/>
            </w:tcBorders>
            <w:shd w:fill="F6F9FC"/>
          </w:tcPr>
          <w:p>
            <w:pPr>
              <w:spacing w:after="40"/>
            </w:pPr>
            <w:r/>
            <w:r>
              <w:rPr>
                <w:rFonts w:ascii="Arial" w:hAnsi="Arial" w:eastAsia="Microsoft YaHei"/>
                <w:b w:val="0"/>
                <w:sz w:val="18"/>
              </w:rPr>
              <w:t>Configuration consistency</w:t>
            </w:r>
          </w:p>
        </w:tc>
        <w:tc>
          <w:tcPr>
            <w:tcW w:type="dxa" w:w="2556"/>
            <w:vAlign w:val="center"/>
            <w:tcBorders>
              <w:top w:val="single" w:sz="4" w:color="D9D9D9"/>
              <w:left w:val="single" w:sz="4" w:color="D9D9D9"/>
              <w:bottom w:val="single" w:sz="4" w:color="D9D9D9"/>
              <w:right w:val="single" w:sz="4" w:color="D9D9D9"/>
              <w:insideH w:val="single" w:sz="4" w:color="D9D9D9"/>
              <w:insideV w:val="single" w:sz="4" w:color="D9D9D9"/>
            </w:tcBorders>
            <w:shd w:fill="F6F9FC"/>
          </w:tcPr>
          <w:p>
            <w:pPr>
              <w:spacing w:after="40"/>
            </w:pPr>
            <w:r/>
            <w:r>
              <w:rPr>
                <w:rFonts w:ascii="Arial" w:hAnsi="Arial" w:eastAsia="Microsoft YaHei"/>
                <w:b w:val="0"/>
                <w:sz w:val="18"/>
              </w:rPr>
              <w:t>Offline validator: 6 BPMN, 19 Forms, 7 job types</w:t>
            </w:r>
          </w:p>
        </w:tc>
        <w:tc>
          <w:tcPr>
            <w:tcW w:type="dxa" w:w="2556"/>
            <w:vAlign w:val="center"/>
            <w:tcBorders>
              <w:top w:val="single" w:sz="4" w:color="D9D9D9"/>
              <w:left w:val="single" w:sz="4" w:color="D9D9D9"/>
              <w:bottom w:val="single" w:sz="4" w:color="D9D9D9"/>
              <w:right w:val="single" w:sz="4" w:color="D9D9D9"/>
              <w:insideH w:val="single" w:sz="4" w:color="D9D9D9"/>
              <w:insideV w:val="single" w:sz="4" w:color="D9D9D9"/>
            </w:tcBorders>
            <w:shd w:fill="F6F9FC"/>
          </w:tcPr>
          <w:p>
            <w:pPr>
              <w:spacing w:after="40"/>
            </w:pPr>
            <w:r/>
            <w:r>
              <w:rPr>
                <w:rFonts w:ascii="Arial" w:hAnsi="Arial" w:eastAsia="Microsoft YaHei"/>
                <w:b w:val="0"/>
                <w:sz w:val="18"/>
              </w:rPr>
              <w:t>XML/JSON, form bindings, call targets and worker job-type references passed offline validation.</w:t>
            </w:r>
          </w:p>
        </w:tc>
        <w:tc>
          <w:tcPr>
            <w:tcW w:type="dxa" w:w="2556"/>
            <w:vAlign w:val="center"/>
            <w:tcBorders>
              <w:top w:val="single" w:sz="4" w:color="D9D9D9"/>
              <w:left w:val="single" w:sz="4" w:color="D9D9D9"/>
              <w:bottom w:val="single" w:sz="4" w:color="D9D9D9"/>
              <w:right w:val="single" w:sz="4" w:color="D9D9D9"/>
              <w:insideH w:val="single" w:sz="4" w:color="D9D9D9"/>
              <w:insideV w:val="single" w:sz="4" w:color="D9D9D9"/>
            </w:tcBorders>
            <w:shd w:fill="F6F9FC"/>
          </w:tcPr>
          <w:p>
            <w:pPr>
              <w:spacing w:after="40"/>
            </w:pPr>
            <w:r/>
            <w:r>
              <w:rPr>
                <w:rFonts w:ascii="Arial" w:hAnsi="Arial" w:eastAsia="Microsoft YaHei"/>
                <w:b w:val="0"/>
                <w:sz w:val="18"/>
              </w:rPr>
              <w:t>Static success is not the same as a deployed Camunda execution.</w:t>
            </w:r>
          </w:p>
        </w:tc>
      </w:tr>
    </w:tbl>
    <w:p/>
    <w:p>
      <w:pPr>
        <w:pStyle w:val="Heading1"/>
      </w:pPr>
      <w:r>
        <w:t>6 Proposed Release 2 improvements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Borders>
              <w:top w:val="single" w:sz="4" w:color="D9D9D9"/>
              <w:left w:val="single" w:sz="4" w:color="D9D9D9"/>
              <w:bottom w:val="single" w:sz="4" w:color="D9D9D9"/>
              <w:right w:val="single" w:sz="4" w:color="D9D9D9"/>
              <w:insideH w:val="single" w:sz="4" w:color="D9D9D9"/>
              <w:insideV w:val="single" w:sz="4" w:color="D9D9D9"/>
            </w:tcBorders>
            <w:shd w:fill="1F4E79"/>
          </w:tcPr>
          <w:p>
            <w:pPr>
              <w:spacing w:after="40"/>
            </w:pPr>
            <w:r>
              <w:rPr>
                <w:color w:val="FFFFFF"/>
              </w:rPr>
            </w:r>
            <w:r>
              <w:rPr>
                <w:rFonts w:ascii="Arial" w:hAnsi="Arial" w:eastAsia="Microsoft YaHei"/>
                <w:b/>
                <w:color w:val="FFFFFF"/>
                <w:sz w:val="18"/>
              </w:rPr>
              <w:t>Priority</w:t>
            </w:r>
          </w:p>
        </w:tc>
        <w:tc>
          <w:tcPr>
            <w:tcW w:type="dxa" w:w="2556"/>
            <w:vAlign w:val="center"/>
            <w:tcBorders>
              <w:top w:val="single" w:sz="4" w:color="D9D9D9"/>
              <w:left w:val="single" w:sz="4" w:color="D9D9D9"/>
              <w:bottom w:val="single" w:sz="4" w:color="D9D9D9"/>
              <w:right w:val="single" w:sz="4" w:color="D9D9D9"/>
              <w:insideH w:val="single" w:sz="4" w:color="D9D9D9"/>
              <w:insideV w:val="single" w:sz="4" w:color="D9D9D9"/>
            </w:tcBorders>
            <w:shd w:fill="1F4E79"/>
          </w:tcPr>
          <w:p>
            <w:pPr>
              <w:spacing w:after="40"/>
            </w:pPr>
            <w:r>
              <w:rPr>
                <w:color w:val="FFFFFF"/>
              </w:rPr>
            </w:r>
            <w:r>
              <w:rPr>
                <w:rFonts w:ascii="Arial" w:hAnsi="Arial" w:eastAsia="Microsoft YaHei"/>
                <w:b/>
                <w:color w:val="FFFFFF"/>
                <w:sz w:val="18"/>
              </w:rPr>
              <w:t>Improvement action</w:t>
            </w:r>
          </w:p>
        </w:tc>
        <w:tc>
          <w:tcPr>
            <w:tcW w:type="dxa" w:w="2556"/>
            <w:vAlign w:val="center"/>
            <w:tcBorders>
              <w:top w:val="single" w:sz="4" w:color="D9D9D9"/>
              <w:left w:val="single" w:sz="4" w:color="D9D9D9"/>
              <w:bottom w:val="single" w:sz="4" w:color="D9D9D9"/>
              <w:right w:val="single" w:sz="4" w:color="D9D9D9"/>
              <w:insideH w:val="single" w:sz="4" w:color="D9D9D9"/>
              <w:insideV w:val="single" w:sz="4" w:color="D9D9D9"/>
            </w:tcBorders>
            <w:shd w:fill="1F4E79"/>
          </w:tcPr>
          <w:p>
            <w:pPr>
              <w:spacing w:after="40"/>
            </w:pPr>
            <w:r>
              <w:rPr>
                <w:color w:val="FFFFFF"/>
              </w:rPr>
            </w:r>
            <w:r>
              <w:rPr>
                <w:rFonts w:ascii="Arial" w:hAnsi="Arial" w:eastAsia="Microsoft YaHei"/>
                <w:b/>
                <w:color w:val="FFFFFF"/>
                <w:sz w:val="18"/>
              </w:rPr>
              <w:t>Reason from V1 evaluation</w:t>
            </w:r>
          </w:p>
        </w:tc>
        <w:tc>
          <w:tcPr>
            <w:tcW w:type="dxa" w:w="2556"/>
            <w:vAlign w:val="center"/>
            <w:tcBorders>
              <w:top w:val="single" w:sz="4" w:color="D9D9D9"/>
              <w:left w:val="single" w:sz="4" w:color="D9D9D9"/>
              <w:bottom w:val="single" w:sz="4" w:color="D9D9D9"/>
              <w:right w:val="single" w:sz="4" w:color="D9D9D9"/>
              <w:insideH w:val="single" w:sz="4" w:color="D9D9D9"/>
              <w:insideV w:val="single" w:sz="4" w:color="D9D9D9"/>
            </w:tcBorders>
            <w:shd w:fill="1F4E79"/>
          </w:tcPr>
          <w:p>
            <w:pPr>
              <w:spacing w:after="40"/>
            </w:pPr>
            <w:r>
              <w:rPr>
                <w:color w:val="FFFFFF"/>
              </w:rPr>
            </w:r>
            <w:r>
              <w:rPr>
                <w:rFonts w:ascii="Arial" w:hAnsi="Arial" w:eastAsia="Microsoft YaHei"/>
                <w:b/>
                <w:color w:val="FFFFFF"/>
                <w:sz w:val="18"/>
              </w:rPr>
              <w:t>Acceptance evidence</w:t>
            </w:r>
          </w:p>
        </w:tc>
      </w:tr>
      <w:tr>
        <w:tc>
          <w:tcPr>
            <w:tcW w:type="dxa" w:w="25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eastAsia="Microsoft YaHei"/>
                <w:b w:val="0"/>
                <w:sz w:val="18"/>
              </w:rPr>
              <w:t>P1</w:t>
            </w:r>
          </w:p>
        </w:tc>
        <w:tc>
          <w:tcPr>
            <w:tcW w:type="dxa" w:w="25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eastAsia="Microsoft YaHei"/>
                <w:b w:val="0"/>
                <w:sz w:val="18"/>
              </w:rPr>
              <w:t>Run normal and exception journeys in the teaching Camunda environment and retain task/worker evidence.</w:t>
            </w:r>
          </w:p>
        </w:tc>
        <w:tc>
          <w:tcPr>
            <w:tcW w:type="dxa" w:w="25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eastAsia="Microsoft YaHei"/>
                <w:b w:val="0"/>
                <w:sz w:val="18"/>
              </w:rPr>
              <w:t>Current validation is structural; a broker execution is still required.</w:t>
            </w:r>
          </w:p>
        </w:tc>
        <w:tc>
          <w:tcPr>
            <w:tcW w:type="dxa" w:w="25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eastAsia="Microsoft YaHei"/>
                <w:b w:val="0"/>
                <w:sz w:val="18"/>
              </w:rPr>
              <w:t>Deployment version, completed task screenshots/logs, worker output and result for one normal and one exception case.</w:t>
            </w:r>
          </w:p>
        </w:tc>
      </w:tr>
      <w:tr>
        <w:tc>
          <w:tcPr>
            <w:tcW w:type="dxa" w:w="2556"/>
            <w:vAlign w:val="center"/>
            <w:tcBorders>
              <w:top w:val="single" w:sz="4" w:color="D9D9D9"/>
              <w:left w:val="single" w:sz="4" w:color="D9D9D9"/>
              <w:bottom w:val="single" w:sz="4" w:color="D9D9D9"/>
              <w:right w:val="single" w:sz="4" w:color="D9D9D9"/>
              <w:insideH w:val="single" w:sz="4" w:color="D9D9D9"/>
              <w:insideV w:val="single" w:sz="4" w:color="D9D9D9"/>
            </w:tcBorders>
            <w:shd w:fill="F6F9FC"/>
          </w:tcPr>
          <w:p>
            <w:pPr>
              <w:spacing w:after="40"/>
            </w:pPr>
            <w:r/>
            <w:r>
              <w:rPr>
                <w:rFonts w:ascii="Arial" w:hAnsi="Arial" w:eastAsia="Microsoft YaHei"/>
                <w:b w:val="0"/>
                <w:sz w:val="18"/>
              </w:rPr>
              <w:t>P1</w:t>
            </w:r>
          </w:p>
        </w:tc>
        <w:tc>
          <w:tcPr>
            <w:tcW w:type="dxa" w:w="2556"/>
            <w:vAlign w:val="center"/>
            <w:tcBorders>
              <w:top w:val="single" w:sz="4" w:color="D9D9D9"/>
              <w:left w:val="single" w:sz="4" w:color="D9D9D9"/>
              <w:bottom w:val="single" w:sz="4" w:color="D9D9D9"/>
              <w:right w:val="single" w:sz="4" w:color="D9D9D9"/>
              <w:insideH w:val="single" w:sz="4" w:color="D9D9D9"/>
              <w:insideV w:val="single" w:sz="4" w:color="D9D9D9"/>
            </w:tcBorders>
            <w:shd w:fill="F6F9FC"/>
          </w:tcPr>
          <w:p>
            <w:pPr>
              <w:spacing w:after="40"/>
            </w:pPr>
            <w:r/>
            <w:r>
              <w:rPr>
                <w:rFonts w:ascii="Arial" w:hAnsi="Arial" w:eastAsia="Microsoft YaHei"/>
                <w:b w:val="0"/>
                <w:sz w:val="18"/>
              </w:rPr>
              <w:t>Add RBAC and a durable audit trail design for consultant, clinician and finance approvals.</w:t>
            </w:r>
          </w:p>
        </w:tc>
        <w:tc>
          <w:tcPr>
            <w:tcW w:type="dxa" w:w="2556"/>
            <w:vAlign w:val="center"/>
            <w:tcBorders>
              <w:top w:val="single" w:sz="4" w:color="D9D9D9"/>
              <w:left w:val="single" w:sz="4" w:color="D9D9D9"/>
              <w:bottom w:val="single" w:sz="4" w:color="D9D9D9"/>
              <w:right w:val="single" w:sz="4" w:color="D9D9D9"/>
              <w:insideH w:val="single" w:sz="4" w:color="D9D9D9"/>
              <w:insideV w:val="single" w:sz="4" w:color="D9D9D9"/>
            </w:tcBorders>
            <w:shd w:fill="F6F9FC"/>
          </w:tcPr>
          <w:p>
            <w:pPr>
              <w:spacing w:after="40"/>
            </w:pPr>
            <w:r/>
            <w:r>
              <w:rPr>
                <w:rFonts w:ascii="Arial" w:hAnsi="Arial" w:eastAsia="Microsoft YaHei"/>
                <w:b w:val="0"/>
                <w:sz w:val="18"/>
              </w:rPr>
              <w:t>V1 models responsibility but does not prove authenticated authorisation or audit persistence.</w:t>
            </w:r>
          </w:p>
        </w:tc>
        <w:tc>
          <w:tcPr>
            <w:tcW w:type="dxa" w:w="2556"/>
            <w:vAlign w:val="center"/>
            <w:tcBorders>
              <w:top w:val="single" w:sz="4" w:color="D9D9D9"/>
              <w:left w:val="single" w:sz="4" w:color="D9D9D9"/>
              <w:bottom w:val="single" w:sz="4" w:color="D9D9D9"/>
              <w:right w:val="single" w:sz="4" w:color="D9D9D9"/>
              <w:insideH w:val="single" w:sz="4" w:color="D9D9D9"/>
              <w:insideV w:val="single" w:sz="4" w:color="D9D9D9"/>
            </w:tcBorders>
            <w:shd w:fill="F6F9FC"/>
          </w:tcPr>
          <w:p>
            <w:pPr>
              <w:spacing w:after="40"/>
            </w:pPr>
            <w:r/>
            <w:r>
              <w:rPr>
                <w:rFonts w:ascii="Arial" w:hAnsi="Arial" w:eastAsia="Microsoft YaHei"/>
                <w:b w:val="0"/>
                <w:sz w:val="18"/>
              </w:rPr>
              <w:t>Role matrix, access design, audit fields and an approval-rejection test.</w:t>
            </w:r>
          </w:p>
        </w:tc>
      </w:tr>
      <w:tr>
        <w:tc>
          <w:tcPr>
            <w:tcW w:type="dxa" w:w="25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eastAsia="Microsoft YaHei"/>
                <w:b w:val="0"/>
                <w:sz w:val="18"/>
              </w:rPr>
              <w:t>P1</w:t>
            </w:r>
          </w:p>
        </w:tc>
        <w:tc>
          <w:tcPr>
            <w:tcW w:type="dxa" w:w="25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eastAsia="Microsoft YaHei"/>
                <w:b w:val="0"/>
                <w:sz w:val="18"/>
              </w:rPr>
              <w:t>Replace simulated integration boundaries with adapter contracts and failure/retry policy.</w:t>
            </w:r>
          </w:p>
        </w:tc>
        <w:tc>
          <w:tcPr>
            <w:tcW w:type="dxa" w:w="25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eastAsia="Microsoft YaHei"/>
                <w:b w:val="0"/>
                <w:sz w:val="18"/>
              </w:rPr>
              <w:t>Workers identify themselves as simulated external services.</w:t>
            </w:r>
          </w:p>
        </w:tc>
        <w:tc>
          <w:tcPr>
            <w:tcW w:type="dxa" w:w="25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eastAsia="Microsoft YaHei"/>
                <w:b w:val="0"/>
                <w:sz w:val="18"/>
              </w:rPr>
              <w:t>API contract stubs, timeout/error mapping and non-production-data statement.</w:t>
            </w:r>
          </w:p>
        </w:tc>
      </w:tr>
      <w:tr>
        <w:tc>
          <w:tcPr>
            <w:tcW w:type="dxa" w:w="2556"/>
            <w:vAlign w:val="center"/>
            <w:tcBorders>
              <w:top w:val="single" w:sz="4" w:color="D9D9D9"/>
              <w:left w:val="single" w:sz="4" w:color="D9D9D9"/>
              <w:bottom w:val="single" w:sz="4" w:color="D9D9D9"/>
              <w:right w:val="single" w:sz="4" w:color="D9D9D9"/>
              <w:insideH w:val="single" w:sz="4" w:color="D9D9D9"/>
              <w:insideV w:val="single" w:sz="4" w:color="D9D9D9"/>
            </w:tcBorders>
            <w:shd w:fill="F6F9FC"/>
          </w:tcPr>
          <w:p>
            <w:pPr>
              <w:spacing w:after="40"/>
            </w:pPr>
            <w:r/>
            <w:r>
              <w:rPr>
                <w:rFonts w:ascii="Arial" w:hAnsi="Arial" w:eastAsia="Microsoft YaHei"/>
                <w:b w:val="0"/>
                <w:sz w:val="18"/>
              </w:rPr>
              <w:t>P2</w:t>
            </w:r>
          </w:p>
        </w:tc>
        <w:tc>
          <w:tcPr>
            <w:tcW w:type="dxa" w:w="2556"/>
            <w:vAlign w:val="center"/>
            <w:tcBorders>
              <w:top w:val="single" w:sz="4" w:color="D9D9D9"/>
              <w:left w:val="single" w:sz="4" w:color="D9D9D9"/>
              <w:bottom w:val="single" w:sz="4" w:color="D9D9D9"/>
              <w:right w:val="single" w:sz="4" w:color="D9D9D9"/>
              <w:insideH w:val="single" w:sz="4" w:color="D9D9D9"/>
              <w:insideV w:val="single" w:sz="4" w:color="D9D9D9"/>
            </w:tcBorders>
            <w:shd w:fill="F6F9FC"/>
          </w:tcPr>
          <w:p>
            <w:pPr>
              <w:spacing w:after="40"/>
            </w:pPr>
            <w:r/>
            <w:r>
              <w:rPr>
                <w:rFonts w:ascii="Arial" w:hAnsi="Arial" w:eastAsia="Microsoft YaHei"/>
                <w:b w:val="0"/>
                <w:sz w:val="18"/>
              </w:rPr>
              <w:t>Strengthen form accessibility with help text, error-message review, keyboard-only check and language/support preference.</w:t>
            </w:r>
          </w:p>
        </w:tc>
        <w:tc>
          <w:tcPr>
            <w:tcW w:type="dxa" w:w="2556"/>
            <w:vAlign w:val="center"/>
            <w:tcBorders>
              <w:top w:val="single" w:sz="4" w:color="D9D9D9"/>
              <w:left w:val="single" w:sz="4" w:color="D9D9D9"/>
              <w:bottom w:val="single" w:sz="4" w:color="D9D9D9"/>
              <w:right w:val="single" w:sz="4" w:color="D9D9D9"/>
              <w:insideH w:val="single" w:sz="4" w:color="D9D9D9"/>
              <w:insideV w:val="single" w:sz="4" w:color="D9D9D9"/>
            </w:tcBorders>
            <w:shd w:fill="F6F9FC"/>
          </w:tcPr>
          <w:p>
            <w:pPr>
              <w:spacing w:after="40"/>
            </w:pPr>
            <w:r/>
            <w:r>
              <w:rPr>
                <w:rFonts w:ascii="Arial" w:hAnsi="Arial" w:eastAsia="Microsoft YaHei"/>
                <w:b w:val="0"/>
                <w:sz w:val="18"/>
              </w:rPr>
              <w:t>Labels and required checks exist; user-centred testing is not yet evidenced.</w:t>
            </w:r>
          </w:p>
        </w:tc>
        <w:tc>
          <w:tcPr>
            <w:tcW w:type="dxa" w:w="2556"/>
            <w:vAlign w:val="center"/>
            <w:tcBorders>
              <w:top w:val="single" w:sz="4" w:color="D9D9D9"/>
              <w:left w:val="single" w:sz="4" w:color="D9D9D9"/>
              <w:bottom w:val="single" w:sz="4" w:color="D9D9D9"/>
              <w:right w:val="single" w:sz="4" w:color="D9D9D9"/>
              <w:insideH w:val="single" w:sz="4" w:color="D9D9D9"/>
              <w:insideV w:val="single" w:sz="4" w:color="D9D9D9"/>
            </w:tcBorders>
            <w:shd w:fill="F6F9FC"/>
          </w:tcPr>
          <w:p>
            <w:pPr>
              <w:spacing w:after="40"/>
            </w:pPr>
            <w:r/>
            <w:r>
              <w:rPr>
                <w:rFonts w:ascii="Arial" w:hAnsi="Arial" w:eastAsia="Microsoft YaHei"/>
                <w:b w:val="0"/>
                <w:sz w:val="18"/>
              </w:rPr>
              <w:t>Accessibility checklist and observed user-task test results.</w:t>
            </w:r>
          </w:p>
        </w:tc>
      </w:tr>
      <w:tr>
        <w:tc>
          <w:tcPr>
            <w:tcW w:type="dxa" w:w="25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eastAsia="Microsoft YaHei"/>
                <w:b w:val="0"/>
                <w:sz w:val="18"/>
              </w:rPr>
              <w:t>P2</w:t>
            </w:r>
          </w:p>
        </w:tc>
        <w:tc>
          <w:tcPr>
            <w:tcW w:type="dxa" w:w="25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eastAsia="Microsoft YaHei"/>
                <w:b w:val="0"/>
                <w:sz w:val="18"/>
              </w:rPr>
              <w:t>Make monitoring time-based and measurable.</w:t>
            </w:r>
          </w:p>
        </w:tc>
        <w:tc>
          <w:tcPr>
            <w:tcW w:type="dxa" w:w="25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eastAsia="Microsoft YaHei"/>
                <w:b w:val="0"/>
                <w:sz w:val="18"/>
              </w:rPr>
              <w:t>The BPMN includes monitoring paths, but timers and operational measures require demonstrated configuration.</w:t>
            </w:r>
          </w:p>
        </w:tc>
        <w:tc>
          <w:tcPr>
            <w:tcW w:type="dxa" w:w="25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eastAsia="Microsoft YaHei"/>
                <w:b w:val="0"/>
                <w:sz w:val="18"/>
              </w:rPr>
              <w:t>Timer configuration, reminder/escalation evidence and a monitored-age test.</w:t>
            </w:r>
          </w:p>
        </w:tc>
      </w:tr>
    </w:tbl>
    <w:p/>
    <w:p>
      <w:pPr>
        <w:pStyle w:val="Heading1"/>
      </w:pPr>
      <w:r>
        <w:t>7 Requirements traceability snapshot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Borders>
              <w:top w:val="single" w:sz="4" w:color="D9D9D9"/>
              <w:left w:val="single" w:sz="4" w:color="D9D9D9"/>
              <w:bottom w:val="single" w:sz="4" w:color="D9D9D9"/>
              <w:right w:val="single" w:sz="4" w:color="D9D9D9"/>
              <w:insideH w:val="single" w:sz="4" w:color="D9D9D9"/>
              <w:insideV w:val="single" w:sz="4" w:color="D9D9D9"/>
            </w:tcBorders>
            <w:shd w:fill="1F4E79"/>
          </w:tcPr>
          <w:p>
            <w:pPr>
              <w:spacing w:after="40"/>
            </w:pPr>
            <w:r>
              <w:rPr>
                <w:color w:val="FFFFFF"/>
              </w:rPr>
            </w:r>
            <w:r>
              <w:rPr>
                <w:rFonts w:ascii="Arial" w:hAnsi="Arial" w:eastAsia="Microsoft YaHei"/>
                <w:b/>
                <w:color w:val="FFFFFF"/>
                <w:sz w:val="18"/>
              </w:rPr>
              <w:t>Requirement</w:t>
            </w:r>
          </w:p>
        </w:tc>
        <w:tc>
          <w:tcPr>
            <w:tcW w:type="dxa" w:w="2556"/>
            <w:vAlign w:val="center"/>
            <w:tcBorders>
              <w:top w:val="single" w:sz="4" w:color="D9D9D9"/>
              <w:left w:val="single" w:sz="4" w:color="D9D9D9"/>
              <w:bottom w:val="single" w:sz="4" w:color="D9D9D9"/>
              <w:right w:val="single" w:sz="4" w:color="D9D9D9"/>
              <w:insideH w:val="single" w:sz="4" w:color="D9D9D9"/>
              <w:insideV w:val="single" w:sz="4" w:color="D9D9D9"/>
            </w:tcBorders>
            <w:shd w:fill="1F4E79"/>
          </w:tcPr>
          <w:p>
            <w:pPr>
              <w:spacing w:after="40"/>
            </w:pPr>
            <w:r>
              <w:rPr>
                <w:color w:val="FFFFFF"/>
              </w:rPr>
            </w:r>
            <w:r>
              <w:rPr>
                <w:rFonts w:ascii="Arial" w:hAnsi="Arial" w:eastAsia="Microsoft YaHei"/>
                <w:b/>
                <w:color w:val="FFFFFF"/>
                <w:sz w:val="18"/>
              </w:rPr>
              <w:t>V1 status</w:t>
            </w:r>
          </w:p>
        </w:tc>
        <w:tc>
          <w:tcPr>
            <w:tcW w:type="dxa" w:w="2556"/>
            <w:vAlign w:val="center"/>
            <w:tcBorders>
              <w:top w:val="single" w:sz="4" w:color="D9D9D9"/>
              <w:left w:val="single" w:sz="4" w:color="D9D9D9"/>
              <w:bottom w:val="single" w:sz="4" w:color="D9D9D9"/>
              <w:right w:val="single" w:sz="4" w:color="D9D9D9"/>
              <w:insideH w:val="single" w:sz="4" w:color="D9D9D9"/>
              <w:insideV w:val="single" w:sz="4" w:color="D9D9D9"/>
            </w:tcBorders>
            <w:shd w:fill="1F4E79"/>
          </w:tcPr>
          <w:p>
            <w:pPr>
              <w:spacing w:after="40"/>
            </w:pPr>
            <w:r>
              <w:rPr>
                <w:color w:val="FFFFFF"/>
              </w:rPr>
            </w:r>
            <w:r>
              <w:rPr>
                <w:rFonts w:ascii="Arial" w:hAnsi="Arial" w:eastAsia="Microsoft YaHei"/>
                <w:b/>
                <w:color w:val="FFFFFF"/>
                <w:sz w:val="18"/>
              </w:rPr>
              <w:t>Evidence</w:t>
            </w:r>
          </w:p>
        </w:tc>
        <w:tc>
          <w:tcPr>
            <w:tcW w:type="dxa" w:w="2556"/>
            <w:vAlign w:val="center"/>
            <w:tcBorders>
              <w:top w:val="single" w:sz="4" w:color="D9D9D9"/>
              <w:left w:val="single" w:sz="4" w:color="D9D9D9"/>
              <w:bottom w:val="single" w:sz="4" w:color="D9D9D9"/>
              <w:right w:val="single" w:sz="4" w:color="D9D9D9"/>
              <w:insideH w:val="single" w:sz="4" w:color="D9D9D9"/>
              <w:insideV w:val="single" w:sz="4" w:color="D9D9D9"/>
            </w:tcBorders>
            <w:shd w:fill="1F4E79"/>
          </w:tcPr>
          <w:p>
            <w:pPr>
              <w:spacing w:after="40"/>
            </w:pPr>
            <w:r>
              <w:rPr>
                <w:color w:val="FFFFFF"/>
              </w:rPr>
            </w:r>
            <w:r>
              <w:rPr>
                <w:rFonts w:ascii="Arial" w:hAnsi="Arial" w:eastAsia="Microsoft YaHei"/>
                <w:b/>
                <w:color w:val="FFFFFF"/>
                <w:sz w:val="18"/>
              </w:rPr>
              <w:t>V2 next step</w:t>
            </w:r>
          </w:p>
        </w:tc>
      </w:tr>
      <w:tr>
        <w:tc>
          <w:tcPr>
            <w:tcW w:type="dxa" w:w="25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eastAsia="Microsoft YaHei"/>
                <w:b w:val="0"/>
                <w:sz w:val="18"/>
              </w:rPr>
              <w:t>Executable operational workflow</w:t>
            </w:r>
          </w:p>
        </w:tc>
        <w:tc>
          <w:tcPr>
            <w:tcW w:type="dxa" w:w="25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eastAsia="Microsoft YaHei"/>
                <w:b w:val="0"/>
                <w:sz w:val="18"/>
              </w:rPr>
              <w:t>Supported</w:t>
            </w:r>
          </w:p>
        </w:tc>
        <w:tc>
          <w:tcPr>
            <w:tcW w:type="dxa" w:w="25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eastAsia="Microsoft YaHei"/>
                <w:b w:val="0"/>
                <w:sz w:val="18"/>
              </w:rPr>
              <w:t>Six BPMN files are executable; master uses called processes.</w:t>
            </w:r>
          </w:p>
        </w:tc>
        <w:tc>
          <w:tcPr>
            <w:tcW w:type="dxa" w:w="25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eastAsia="Microsoft YaHei"/>
                <w:b w:val="0"/>
                <w:sz w:val="18"/>
              </w:rPr>
              <w:t>Deploy in agreed order and capture runtime evidence.</w:t>
            </w:r>
          </w:p>
        </w:tc>
      </w:tr>
      <w:tr>
        <w:tc>
          <w:tcPr>
            <w:tcW w:type="dxa" w:w="2556"/>
            <w:vAlign w:val="center"/>
            <w:tcBorders>
              <w:top w:val="single" w:sz="4" w:color="D9D9D9"/>
              <w:left w:val="single" w:sz="4" w:color="D9D9D9"/>
              <w:bottom w:val="single" w:sz="4" w:color="D9D9D9"/>
              <w:right w:val="single" w:sz="4" w:color="D9D9D9"/>
              <w:insideH w:val="single" w:sz="4" w:color="D9D9D9"/>
              <w:insideV w:val="single" w:sz="4" w:color="D9D9D9"/>
            </w:tcBorders>
            <w:shd w:fill="F6F9FC"/>
          </w:tcPr>
          <w:p>
            <w:pPr>
              <w:spacing w:after="40"/>
            </w:pPr>
            <w:r/>
            <w:r>
              <w:rPr>
                <w:rFonts w:ascii="Arial" w:hAnsi="Arial" w:eastAsia="Microsoft YaHei"/>
                <w:b w:val="0"/>
                <w:sz w:val="18"/>
              </w:rPr>
              <w:t>Forms with validation and bindings</w:t>
            </w:r>
          </w:p>
        </w:tc>
        <w:tc>
          <w:tcPr>
            <w:tcW w:type="dxa" w:w="2556"/>
            <w:vAlign w:val="center"/>
            <w:tcBorders>
              <w:top w:val="single" w:sz="4" w:color="D9D9D9"/>
              <w:left w:val="single" w:sz="4" w:color="D9D9D9"/>
              <w:bottom w:val="single" w:sz="4" w:color="D9D9D9"/>
              <w:right w:val="single" w:sz="4" w:color="D9D9D9"/>
              <w:insideH w:val="single" w:sz="4" w:color="D9D9D9"/>
              <w:insideV w:val="single" w:sz="4" w:color="D9D9D9"/>
            </w:tcBorders>
            <w:shd w:fill="F6F9FC"/>
          </w:tcPr>
          <w:p>
            <w:pPr>
              <w:spacing w:after="40"/>
            </w:pPr>
            <w:r/>
            <w:r>
              <w:rPr>
                <w:rFonts w:ascii="Arial" w:hAnsi="Arial" w:eastAsia="Microsoft YaHei"/>
                <w:b w:val="0"/>
                <w:sz w:val="18"/>
              </w:rPr>
              <w:t>Supported</w:t>
            </w:r>
          </w:p>
        </w:tc>
        <w:tc>
          <w:tcPr>
            <w:tcW w:type="dxa" w:w="2556"/>
            <w:vAlign w:val="center"/>
            <w:tcBorders>
              <w:top w:val="single" w:sz="4" w:color="D9D9D9"/>
              <w:left w:val="single" w:sz="4" w:color="D9D9D9"/>
              <w:bottom w:val="single" w:sz="4" w:color="D9D9D9"/>
              <w:right w:val="single" w:sz="4" w:color="D9D9D9"/>
              <w:insideH w:val="single" w:sz="4" w:color="D9D9D9"/>
              <w:insideV w:val="single" w:sz="4" w:color="D9D9D9"/>
            </w:tcBorders>
            <w:shd w:fill="F6F9FC"/>
          </w:tcPr>
          <w:p>
            <w:pPr>
              <w:spacing w:after="40"/>
            </w:pPr>
            <w:r/>
            <w:r>
              <w:rPr>
                <w:rFonts w:ascii="Arial" w:hAnsi="Arial" w:eastAsia="Microsoft YaHei"/>
                <w:b w:val="0"/>
                <w:sz w:val="18"/>
              </w:rPr>
              <w:t>Nineteen JSON forms; validator resolves all BPMN form IDs.</w:t>
            </w:r>
          </w:p>
        </w:tc>
        <w:tc>
          <w:tcPr>
            <w:tcW w:type="dxa" w:w="2556"/>
            <w:vAlign w:val="center"/>
            <w:tcBorders>
              <w:top w:val="single" w:sz="4" w:color="D9D9D9"/>
              <w:left w:val="single" w:sz="4" w:color="D9D9D9"/>
              <w:bottom w:val="single" w:sz="4" w:color="D9D9D9"/>
              <w:right w:val="single" w:sz="4" w:color="D9D9D9"/>
              <w:insideH w:val="single" w:sz="4" w:color="D9D9D9"/>
              <w:insideV w:val="single" w:sz="4" w:color="D9D9D9"/>
            </w:tcBorders>
            <w:shd w:fill="F6F9FC"/>
          </w:tcPr>
          <w:p>
            <w:pPr>
              <w:spacing w:after="40"/>
            </w:pPr>
            <w:r/>
            <w:r>
              <w:rPr>
                <w:rFonts w:ascii="Arial" w:hAnsi="Arial" w:eastAsia="Microsoft YaHei"/>
                <w:b w:val="0"/>
                <w:sz w:val="18"/>
              </w:rPr>
              <w:t>Run accessibility and variable-persistence tests.</w:t>
            </w:r>
          </w:p>
        </w:tc>
      </w:tr>
      <w:tr>
        <w:tc>
          <w:tcPr>
            <w:tcW w:type="dxa" w:w="25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eastAsia="Microsoft YaHei"/>
                <w:b w:val="0"/>
                <w:sz w:val="18"/>
              </w:rPr>
              <w:t>External worker integration and failure handling</w:t>
            </w:r>
          </w:p>
        </w:tc>
        <w:tc>
          <w:tcPr>
            <w:tcW w:type="dxa" w:w="25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eastAsia="Microsoft YaHei"/>
                <w:b w:val="0"/>
                <w:sz w:val="18"/>
              </w:rPr>
              <w:t>Partly supported</w:t>
            </w:r>
          </w:p>
        </w:tc>
        <w:tc>
          <w:tcPr>
            <w:tcW w:type="dxa" w:w="25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eastAsia="Microsoft YaHei"/>
                <w:b w:val="0"/>
                <w:sz w:val="18"/>
              </w:rPr>
              <w:t>Seven job types; payment and letter workers have guarded outcomes.</w:t>
            </w:r>
          </w:p>
        </w:tc>
        <w:tc>
          <w:tcPr>
            <w:tcW w:type="dxa" w:w="25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eastAsia="Microsoft YaHei"/>
                <w:b w:val="0"/>
                <w:sz w:val="18"/>
              </w:rPr>
              <w:t>Demonstrate broker failures/retries and real-service adapter boundary.</w:t>
            </w:r>
          </w:p>
        </w:tc>
      </w:tr>
      <w:tr>
        <w:tc>
          <w:tcPr>
            <w:tcW w:type="dxa" w:w="2556"/>
            <w:vAlign w:val="center"/>
            <w:tcBorders>
              <w:top w:val="single" w:sz="4" w:color="D9D9D9"/>
              <w:left w:val="single" w:sz="4" w:color="D9D9D9"/>
              <w:bottom w:val="single" w:sz="4" w:color="D9D9D9"/>
              <w:right w:val="single" w:sz="4" w:color="D9D9D9"/>
              <w:insideH w:val="single" w:sz="4" w:color="D9D9D9"/>
              <w:insideV w:val="single" w:sz="4" w:color="D9D9D9"/>
            </w:tcBorders>
            <w:shd w:fill="F6F9FC"/>
          </w:tcPr>
          <w:p>
            <w:pPr>
              <w:spacing w:after="40"/>
            </w:pPr>
            <w:r/>
            <w:r>
              <w:rPr>
                <w:rFonts w:ascii="Arial" w:hAnsi="Arial" w:eastAsia="Microsoft YaHei"/>
                <w:b w:val="0"/>
                <w:sz w:val="18"/>
              </w:rPr>
              <w:t>Authorised clinical/finance decisions</w:t>
            </w:r>
          </w:p>
        </w:tc>
        <w:tc>
          <w:tcPr>
            <w:tcW w:type="dxa" w:w="2556"/>
            <w:vAlign w:val="center"/>
            <w:tcBorders>
              <w:top w:val="single" w:sz="4" w:color="D9D9D9"/>
              <w:left w:val="single" w:sz="4" w:color="D9D9D9"/>
              <w:bottom w:val="single" w:sz="4" w:color="D9D9D9"/>
              <w:right w:val="single" w:sz="4" w:color="D9D9D9"/>
              <w:insideH w:val="single" w:sz="4" w:color="D9D9D9"/>
              <w:insideV w:val="single" w:sz="4" w:color="D9D9D9"/>
            </w:tcBorders>
            <w:shd w:fill="F6F9FC"/>
          </w:tcPr>
          <w:p>
            <w:pPr>
              <w:spacing w:after="40"/>
            </w:pPr>
            <w:r/>
            <w:r>
              <w:rPr>
                <w:rFonts w:ascii="Arial" w:hAnsi="Arial" w:eastAsia="Microsoft YaHei"/>
                <w:b w:val="0"/>
                <w:sz w:val="18"/>
              </w:rPr>
              <w:t>Partly supported</w:t>
            </w:r>
          </w:p>
        </w:tc>
        <w:tc>
          <w:tcPr>
            <w:tcW w:type="dxa" w:w="2556"/>
            <w:vAlign w:val="center"/>
            <w:tcBorders>
              <w:top w:val="single" w:sz="4" w:color="D9D9D9"/>
              <w:left w:val="single" w:sz="4" w:color="D9D9D9"/>
              <w:bottom w:val="single" w:sz="4" w:color="D9D9D9"/>
              <w:right w:val="single" w:sz="4" w:color="D9D9D9"/>
              <w:insideH w:val="single" w:sz="4" w:color="D9D9D9"/>
              <w:insideV w:val="single" w:sz="4" w:color="D9D9D9"/>
            </w:tcBorders>
            <w:shd w:fill="F6F9FC"/>
          </w:tcPr>
          <w:p>
            <w:pPr>
              <w:spacing w:after="40"/>
            </w:pPr>
            <w:r/>
            <w:r>
              <w:rPr>
                <w:rFonts w:ascii="Arial" w:hAnsi="Arial" w:eastAsia="Microsoft YaHei"/>
                <w:b w:val="0"/>
                <w:sz w:val="18"/>
              </w:rPr>
              <w:t>Named lanes, approval tasks and newly bound audit forms.</w:t>
            </w:r>
          </w:p>
        </w:tc>
        <w:tc>
          <w:tcPr>
            <w:tcW w:type="dxa" w:w="2556"/>
            <w:vAlign w:val="center"/>
            <w:tcBorders>
              <w:top w:val="single" w:sz="4" w:color="D9D9D9"/>
              <w:left w:val="single" w:sz="4" w:color="D9D9D9"/>
              <w:bottom w:val="single" w:sz="4" w:color="D9D9D9"/>
              <w:right w:val="single" w:sz="4" w:color="D9D9D9"/>
              <w:insideH w:val="single" w:sz="4" w:color="D9D9D9"/>
              <w:insideV w:val="single" w:sz="4" w:color="D9D9D9"/>
            </w:tcBorders>
            <w:shd w:fill="F6F9FC"/>
          </w:tcPr>
          <w:p>
            <w:pPr>
              <w:spacing w:after="40"/>
            </w:pPr>
            <w:r/>
            <w:r>
              <w:rPr>
                <w:rFonts w:ascii="Arial" w:hAnsi="Arial" w:eastAsia="Microsoft YaHei"/>
                <w:b w:val="0"/>
                <w:sz w:val="18"/>
              </w:rPr>
              <w:t>Implement role enforcement and durable audit record.</w:t>
            </w:r>
          </w:p>
        </w:tc>
      </w:tr>
      <w:tr>
        <w:tc>
          <w:tcPr>
            <w:tcW w:type="dxa" w:w="25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eastAsia="Microsoft YaHei"/>
                <w:b w:val="0"/>
                <w:sz w:val="18"/>
              </w:rPr>
              <w:t>Operational monitoring and assurance</w:t>
            </w:r>
          </w:p>
        </w:tc>
        <w:tc>
          <w:tcPr>
            <w:tcW w:type="dxa" w:w="25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eastAsia="Microsoft YaHei"/>
                <w:b w:val="0"/>
                <w:sz w:val="18"/>
              </w:rPr>
              <w:t>Partly supported</w:t>
            </w:r>
          </w:p>
        </w:tc>
        <w:tc>
          <w:tcPr>
            <w:tcW w:type="dxa" w:w="25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eastAsia="Microsoft YaHei"/>
                <w:b w:val="0"/>
                <w:sz w:val="18"/>
              </w:rPr>
              <w:t>Clinic-letter monitoring paths and status variables exist.</w:t>
            </w:r>
          </w:p>
        </w:tc>
        <w:tc>
          <w:tcPr>
            <w:tcW w:type="dxa" w:w="2556"/>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eastAsia="Microsoft YaHei"/>
                <w:b w:val="0"/>
                <w:sz w:val="18"/>
              </w:rPr>
              <w:t>Demonstrate timer execution and reporting.</w:t>
            </w:r>
          </w:p>
        </w:tc>
      </w:tr>
    </w:tbl>
    <w:p/>
    <w:p>
      <w:r>
        <w:br w:type="page"/>
      </w:r>
    </w:p>
    <w:p>
      <w:pPr>
        <w:pStyle w:val="Heading1"/>
      </w:pPr>
      <w:r>
        <w:t>8 Review conclusion</w:t>
      </w:r>
    </w:p>
    <w:p>
      <w:r>
        <w:t>Release 1 is a coherent, inspectable operational baseline: it covers the main referral-to-treatment pathway and includes meaningful safety branches. The largest risks are not diagram gaps but evidence gaps: runtime deployment, role enforcement, accessibility testing and replacing simulated external services. Release 2 should prioritise those evidence-backed improvements before adding new scope.</w:t>
      </w:r>
    </w:p>
    <w:p>
      <w:pPr>
        <w:pStyle w:val="Heading2"/>
      </w:pPr>
      <w:r>
        <w:t>9 Runtime rehearsal evidence to capture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Borders>
              <w:top w:val="single" w:sz="4" w:color="D9D9D9"/>
              <w:left w:val="single" w:sz="4" w:color="D9D9D9"/>
              <w:bottom w:val="single" w:sz="4" w:color="D9D9D9"/>
              <w:right w:val="single" w:sz="4" w:color="D9D9D9"/>
              <w:insideH w:val="single" w:sz="4" w:color="D9D9D9"/>
              <w:insideV w:val="single" w:sz="4" w:color="D9D9D9"/>
            </w:tcBorders>
            <w:shd w:fill="1F4E79"/>
          </w:tcPr>
          <w:p>
            <w:pPr>
              <w:spacing w:after="40"/>
            </w:pPr>
            <w:r>
              <w:rPr>
                <w:color w:val="FFFFFF"/>
              </w:rPr>
            </w:r>
            <w:r>
              <w:rPr>
                <w:rFonts w:ascii="Arial" w:hAnsi="Arial" w:eastAsia="Microsoft YaHei"/>
                <w:b/>
                <w:color w:val="FFFFFF"/>
                <w:sz w:val="18"/>
              </w:rPr>
              <w:t>Evidence item</w:t>
            </w:r>
          </w:p>
        </w:tc>
        <w:tc>
          <w:tcPr>
            <w:tcW w:type="dxa" w:w="3408"/>
            <w:vAlign w:val="center"/>
            <w:tcBorders>
              <w:top w:val="single" w:sz="4" w:color="D9D9D9"/>
              <w:left w:val="single" w:sz="4" w:color="D9D9D9"/>
              <w:bottom w:val="single" w:sz="4" w:color="D9D9D9"/>
              <w:right w:val="single" w:sz="4" w:color="D9D9D9"/>
              <w:insideH w:val="single" w:sz="4" w:color="D9D9D9"/>
              <w:insideV w:val="single" w:sz="4" w:color="D9D9D9"/>
            </w:tcBorders>
            <w:shd w:fill="1F4E79"/>
          </w:tcPr>
          <w:p>
            <w:pPr>
              <w:spacing w:after="40"/>
            </w:pPr>
            <w:r>
              <w:rPr>
                <w:color w:val="FFFFFF"/>
              </w:rPr>
            </w:r>
            <w:r>
              <w:rPr>
                <w:rFonts w:ascii="Arial" w:hAnsi="Arial" w:eastAsia="Microsoft YaHei"/>
                <w:b/>
                <w:color w:val="FFFFFF"/>
                <w:sz w:val="18"/>
              </w:rPr>
              <w:t>Normal journey</w:t>
            </w:r>
          </w:p>
        </w:tc>
        <w:tc>
          <w:tcPr>
            <w:tcW w:type="dxa" w:w="3408"/>
            <w:vAlign w:val="center"/>
            <w:tcBorders>
              <w:top w:val="single" w:sz="4" w:color="D9D9D9"/>
              <w:left w:val="single" w:sz="4" w:color="D9D9D9"/>
              <w:bottom w:val="single" w:sz="4" w:color="D9D9D9"/>
              <w:right w:val="single" w:sz="4" w:color="D9D9D9"/>
              <w:insideH w:val="single" w:sz="4" w:color="D9D9D9"/>
              <w:insideV w:val="single" w:sz="4" w:color="D9D9D9"/>
            </w:tcBorders>
            <w:shd w:fill="1F4E79"/>
          </w:tcPr>
          <w:p>
            <w:pPr>
              <w:spacing w:after="40"/>
            </w:pPr>
            <w:r>
              <w:rPr>
                <w:color w:val="FFFFFF"/>
              </w:rPr>
            </w:r>
            <w:r>
              <w:rPr>
                <w:rFonts w:ascii="Arial" w:hAnsi="Arial" w:eastAsia="Microsoft YaHei"/>
                <w:b/>
                <w:color w:val="FFFFFF"/>
                <w:sz w:val="18"/>
              </w:rPr>
              <w:t>Exception journey</w:t>
            </w:r>
          </w:p>
        </w:tc>
      </w:tr>
      <w:tr>
        <w:tc>
          <w:tcPr>
            <w:tcW w:type="dxa" w:w="340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eastAsia="Microsoft YaHei"/>
                <w:b w:val="0"/>
                <w:sz w:val="18"/>
              </w:rPr>
              <w:t>Deployment record</w:t>
            </w:r>
          </w:p>
        </w:tc>
        <w:tc>
          <w:tcPr>
            <w:tcW w:type="dxa" w:w="340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eastAsia="Microsoft YaHei"/>
                <w:b w:val="0"/>
                <w:sz w:val="18"/>
              </w:rPr>
              <w:t>Model deployment/version and start variables</w:t>
            </w:r>
          </w:p>
        </w:tc>
        <w:tc>
          <w:tcPr>
            <w:tcW w:type="dxa" w:w="340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eastAsia="Microsoft YaHei"/>
                <w:b w:val="0"/>
                <w:sz w:val="18"/>
              </w:rPr>
              <w:t>Same deployment version recorded</w:t>
            </w:r>
          </w:p>
        </w:tc>
      </w:tr>
      <w:tr>
        <w:tc>
          <w:tcPr>
            <w:tcW w:type="dxa" w:w="3408"/>
            <w:vAlign w:val="center"/>
            <w:tcBorders>
              <w:top w:val="single" w:sz="4" w:color="D9D9D9"/>
              <w:left w:val="single" w:sz="4" w:color="D9D9D9"/>
              <w:bottom w:val="single" w:sz="4" w:color="D9D9D9"/>
              <w:right w:val="single" w:sz="4" w:color="D9D9D9"/>
              <w:insideH w:val="single" w:sz="4" w:color="D9D9D9"/>
              <w:insideV w:val="single" w:sz="4" w:color="D9D9D9"/>
            </w:tcBorders>
            <w:shd w:fill="F6F9FC"/>
          </w:tcPr>
          <w:p>
            <w:pPr>
              <w:spacing w:after="40"/>
            </w:pPr>
            <w:r/>
            <w:r>
              <w:rPr>
                <w:rFonts w:ascii="Arial" w:hAnsi="Arial" w:eastAsia="Microsoft YaHei"/>
                <w:b w:val="0"/>
                <w:sz w:val="18"/>
              </w:rPr>
              <w:t>Form evidence</w:t>
            </w:r>
          </w:p>
        </w:tc>
        <w:tc>
          <w:tcPr>
            <w:tcW w:type="dxa" w:w="3408"/>
            <w:vAlign w:val="center"/>
            <w:tcBorders>
              <w:top w:val="single" w:sz="4" w:color="D9D9D9"/>
              <w:left w:val="single" w:sz="4" w:color="D9D9D9"/>
              <w:bottom w:val="single" w:sz="4" w:color="D9D9D9"/>
              <w:right w:val="single" w:sz="4" w:color="D9D9D9"/>
              <w:insideH w:val="single" w:sz="4" w:color="D9D9D9"/>
              <w:insideV w:val="single" w:sz="4" w:color="D9D9D9"/>
            </w:tcBorders>
            <w:shd w:fill="F6F9FC"/>
          </w:tcPr>
          <w:p>
            <w:pPr>
              <w:spacing w:after="40"/>
            </w:pPr>
            <w:r/>
            <w:r>
              <w:rPr>
                <w:rFonts w:ascii="Arial" w:hAnsi="Arial" w:eastAsia="Microsoft YaHei"/>
                <w:b w:val="0"/>
                <w:sz w:val="18"/>
              </w:rPr>
              <w:t>Completed task with submitted variables</w:t>
            </w:r>
          </w:p>
        </w:tc>
        <w:tc>
          <w:tcPr>
            <w:tcW w:type="dxa" w:w="3408"/>
            <w:vAlign w:val="center"/>
            <w:tcBorders>
              <w:top w:val="single" w:sz="4" w:color="D9D9D9"/>
              <w:left w:val="single" w:sz="4" w:color="D9D9D9"/>
              <w:bottom w:val="single" w:sz="4" w:color="D9D9D9"/>
              <w:right w:val="single" w:sz="4" w:color="D9D9D9"/>
              <w:insideH w:val="single" w:sz="4" w:color="D9D9D9"/>
              <w:insideV w:val="single" w:sz="4" w:color="D9D9D9"/>
            </w:tcBorders>
            <w:shd w:fill="F6F9FC"/>
          </w:tcPr>
          <w:p>
            <w:pPr>
              <w:spacing w:after="40"/>
            </w:pPr>
            <w:r/>
            <w:r>
              <w:rPr>
                <w:rFonts w:ascii="Arial" w:hAnsi="Arial" w:eastAsia="Microsoft YaHei"/>
                <w:b w:val="0"/>
                <w:sz w:val="18"/>
              </w:rPr>
              <w:t>Validation or corrected-input task</w:t>
            </w:r>
          </w:p>
        </w:tc>
      </w:tr>
      <w:tr>
        <w:tc>
          <w:tcPr>
            <w:tcW w:type="dxa" w:w="340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eastAsia="Microsoft YaHei"/>
                <w:b w:val="0"/>
                <w:sz w:val="18"/>
              </w:rPr>
              <w:t>Worker evidence</w:t>
            </w:r>
          </w:p>
        </w:tc>
        <w:tc>
          <w:tcPr>
            <w:tcW w:type="dxa" w:w="340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eastAsia="Microsoft YaHei"/>
                <w:b w:val="0"/>
                <w:sz w:val="18"/>
              </w:rPr>
              <w:t>Completed job type and returned variables</w:t>
            </w:r>
          </w:p>
        </w:tc>
        <w:tc>
          <w:tcPr>
            <w:tcW w:type="dxa" w:w="340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eastAsia="Microsoft YaHei"/>
                <w:b w:val="0"/>
                <w:sz w:val="18"/>
              </w:rPr>
              <w:t>Failure or controlled alternative output</w:t>
            </w:r>
          </w:p>
        </w:tc>
      </w:tr>
      <w:tr>
        <w:tc>
          <w:tcPr>
            <w:tcW w:type="dxa" w:w="3408"/>
            <w:vAlign w:val="center"/>
            <w:tcBorders>
              <w:top w:val="single" w:sz="4" w:color="D9D9D9"/>
              <w:left w:val="single" w:sz="4" w:color="D9D9D9"/>
              <w:bottom w:val="single" w:sz="4" w:color="D9D9D9"/>
              <w:right w:val="single" w:sz="4" w:color="D9D9D9"/>
              <w:insideH w:val="single" w:sz="4" w:color="D9D9D9"/>
              <w:insideV w:val="single" w:sz="4" w:color="D9D9D9"/>
            </w:tcBorders>
            <w:shd w:fill="F6F9FC"/>
          </w:tcPr>
          <w:p>
            <w:pPr>
              <w:spacing w:after="40"/>
            </w:pPr>
            <w:r/>
            <w:r>
              <w:rPr>
                <w:rFonts w:ascii="Arial" w:hAnsi="Arial" w:eastAsia="Microsoft YaHei"/>
                <w:b w:val="0"/>
                <w:sz w:val="18"/>
              </w:rPr>
              <w:t>Process result</w:t>
            </w:r>
          </w:p>
        </w:tc>
        <w:tc>
          <w:tcPr>
            <w:tcW w:type="dxa" w:w="3408"/>
            <w:vAlign w:val="center"/>
            <w:tcBorders>
              <w:top w:val="single" w:sz="4" w:color="D9D9D9"/>
              <w:left w:val="single" w:sz="4" w:color="D9D9D9"/>
              <w:bottom w:val="single" w:sz="4" w:color="D9D9D9"/>
              <w:right w:val="single" w:sz="4" w:color="D9D9D9"/>
              <w:insideH w:val="single" w:sz="4" w:color="D9D9D9"/>
              <w:insideV w:val="single" w:sz="4" w:color="D9D9D9"/>
            </w:tcBorders>
            <w:shd w:fill="F6F9FC"/>
          </w:tcPr>
          <w:p>
            <w:pPr>
              <w:spacing w:after="40"/>
            </w:pPr>
            <w:r/>
            <w:r>
              <w:rPr>
                <w:rFonts w:ascii="Arial" w:hAnsi="Arial" w:eastAsia="Microsoft YaHei"/>
                <w:b w:val="0"/>
                <w:sz w:val="18"/>
              </w:rPr>
              <w:t>Master pathway completion</w:t>
            </w:r>
          </w:p>
        </w:tc>
        <w:tc>
          <w:tcPr>
            <w:tcW w:type="dxa" w:w="3408"/>
            <w:vAlign w:val="center"/>
            <w:tcBorders>
              <w:top w:val="single" w:sz="4" w:color="D9D9D9"/>
              <w:left w:val="single" w:sz="4" w:color="D9D9D9"/>
              <w:bottom w:val="single" w:sz="4" w:color="D9D9D9"/>
              <w:right w:val="single" w:sz="4" w:color="D9D9D9"/>
              <w:insideH w:val="single" w:sz="4" w:color="D9D9D9"/>
              <w:insideV w:val="single" w:sz="4" w:color="D9D9D9"/>
            </w:tcBorders>
            <w:shd w:fill="F6F9FC"/>
          </w:tcPr>
          <w:p>
            <w:pPr>
              <w:spacing w:after="40"/>
            </w:pPr>
            <w:r/>
            <w:r>
              <w:rPr>
                <w:rFonts w:ascii="Arial" w:hAnsi="Arial" w:eastAsia="Microsoft YaHei"/>
                <w:b w:val="0"/>
                <w:sz w:val="18"/>
              </w:rPr>
              <w:t>Named recovery, pending or escalation route</w:t>
            </w:r>
          </w:p>
        </w:tc>
      </w:tr>
      <w:tr>
        <w:tc>
          <w:tcPr>
            <w:tcW w:type="dxa" w:w="340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eastAsia="Microsoft YaHei"/>
                <w:b w:val="0"/>
                <w:sz w:val="18"/>
              </w:rPr>
              <w:t>Team explanation</w:t>
            </w:r>
          </w:p>
        </w:tc>
        <w:tc>
          <w:tcPr>
            <w:tcW w:type="dxa" w:w="340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eastAsia="Microsoft YaHei"/>
                <w:b w:val="0"/>
                <w:sz w:val="18"/>
              </w:rPr>
              <w:t>Owner explains data and gateway</w:t>
            </w:r>
          </w:p>
        </w:tc>
        <w:tc>
          <w:tcPr>
            <w:tcW w:type="dxa" w:w="3408"/>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40"/>
            </w:pPr>
            <w:r/>
            <w:r>
              <w:rPr>
                <w:rFonts w:ascii="Arial" w:hAnsi="Arial" w:eastAsia="Microsoft YaHei"/>
                <w:b w:val="0"/>
                <w:sz w:val="18"/>
              </w:rPr>
              <w:t>Owner explains risk and safe recovery</w:t>
            </w:r>
          </w:p>
        </w:tc>
      </w:tr>
    </w:tbl>
    <w:p/>
    <w:p>
      <w:r>
        <w:t>Keep this evidence with the relevant owner. If the teaching environment is unavailable, say exactly that and show the static validation result instead of claiming an execution that did not occur.</w:t>
      </w:r>
    </w:p>
    <w:p>
      <w:r>
        <w:t>Editable sources supplied with this pack: Strategic_Process_Model_V1.bpmn and the three DOT source files in iStar_Source. SVG exports are available for insertion into slides or documentation.</w:t>
      </w:r>
    </w:p>
    <w:sectPr w:rsidR="00FC693F" w:rsidRPr="0006063C" w:rsidSect="00034616">
      <w:footerReference w:type="default" r:id="rId9"/>
      <w:pgSz w:w="12240" w:h="15840"/>
      <w:pgMar w:top="936"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Hospital Patient Referral Treatment and Administration System | Review preparation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Microsoft YaHe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Microsoft YaHe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