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2B366B">
      <w:pPr>
        <w:pStyle w:val="31"/>
        <w:jc w:val="center"/>
      </w:pPr>
      <w:r>
        <w:t>Release 1 Feedback Implementation Evidence</w:t>
      </w:r>
    </w:p>
    <w:p w14:paraId="3A02953A">
      <w:pPr>
        <w:jc w:val="center"/>
      </w:pPr>
      <w:r>
        <w:rPr>
          <w:i/>
        </w:rPr>
        <w:t>Hospital Patient Pathway BPMN Operational Models</w:t>
      </w:r>
    </w:p>
    <w:p w14:paraId="67486614">
      <w:pPr>
        <w:pStyle w:val="3"/>
        <w:spacing w:before="200" w:after="100"/>
      </w:pPr>
      <w:r>
        <w:rPr>
          <w:rFonts w:hint="eastAsia" w:eastAsia="宋体"/>
          <w:b/>
          <w:lang w:val="en-US" w:eastAsia="zh-CN"/>
        </w:rPr>
        <w:t xml:space="preserve"> </w:t>
      </w:r>
      <w:r>
        <w:t>Feedback Response Summary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5112"/>
        <w:gridCol w:w="3168"/>
      </w:tblGrid>
      <w:tr w14:paraId="6AA65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vAlign w:val="center"/>
          </w:tcPr>
          <w:p w14:paraId="340FA5E6"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Teacher feedback</w:t>
            </w:r>
          </w:p>
        </w:tc>
        <w:tc>
          <w:tcPr>
            <w:tcW w:w="51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vAlign w:val="center"/>
          </w:tcPr>
          <w:p w14:paraId="06E032C9"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Implemented response</w:t>
            </w:r>
          </w:p>
        </w:tc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vAlign w:val="center"/>
          </w:tcPr>
          <w:p w14:paraId="4A1A9143"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Evidence and result</w:t>
            </w:r>
          </w:p>
        </w:tc>
      </w:tr>
      <w:tr w14:paraId="05369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60F9E000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1 Form validation</w:t>
            </w:r>
          </w:p>
        </w:tc>
        <w:tc>
          <w:tcPr>
            <w:tcW w:w="51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65FECFE4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Strengthened key identifier, narrative and numeric fields. Patient and referral IDs require input and length limits. Amounts are number fields with a minimum of zero. Treatment cycle count has a positive range. Required notes have minimum text length.</w:t>
            </w:r>
          </w:p>
        </w:tc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4A8C2326">
            <w:pPr>
              <w:spacing w:after="40" w:line="240" w:lineRule="auto"/>
            </w:pPr>
            <w:r>
              <w:rPr>
                <w:rFonts w:hint="eastAsia" w:eastAsia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b w:val="0"/>
                <w:color w:val="000000"/>
                <w:sz w:val="18"/>
              </w:rPr>
              <w:t>The added constraints prevent empty key fields and invalid negative or non-numeric money values before task completion.</w:t>
            </w:r>
          </w:p>
        </w:tc>
      </w:tr>
      <w:tr w14:paraId="1467A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CBDF203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2 Merging gateways</w:t>
            </w:r>
          </w:p>
        </w:tc>
        <w:tc>
          <w:tcPr>
            <w:tcW w:w="51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AB84237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Marked existing multi-input decision points as converging gateways in Appointment, Finance and Clinic Letter Monitoring. Added Treatment Ready to Book as an explicit merge before treatment booking.</w:t>
            </w:r>
          </w:p>
        </w:tc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8A52D43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The Treatment model no longer sends the resource-cleared and finance-cleared paths directly into the booking task. Both paths now meet at one named gateway.</w:t>
            </w:r>
          </w:p>
        </w:tc>
      </w:tr>
      <w:tr w14:paraId="3B0B6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592C6F08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3 Forms and options</w:t>
            </w:r>
          </w:p>
        </w:tc>
        <w:tc>
          <w:tcPr>
            <w:tcW w:w="51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5016F179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Bound every User Task in the five child BPMNs to a Camunda form. Added five scenario-specific forms for referral actions, appointment outcomes, treatment actions, enquiry routes and clinic-letter administration.</w:t>
            </w:r>
          </w:p>
        </w:tc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1C5993AD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Offline check confirms no unbound User Task and no BPMN form reference without a matching form definition.</w:t>
            </w:r>
          </w:p>
        </w:tc>
      </w:tr>
      <w:tr w14:paraId="18620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DF9B2AC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4 Data persistence</w:t>
            </w:r>
          </w:p>
        </w:tc>
        <w:tc>
          <w:tcPr>
            <w:tcW w:w="51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A8E4D22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Added an embedded H2 application repository. Each worker retrieves the stored patient record using patientId, merges current task values, and saves the updated record after the job succeeds.</w:t>
            </w:r>
          </w:p>
        </w:tc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CE186A7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Manual persistence check saved referralId and appointmentDate for P-DEMO-001, then retrieved both values successfully.</w:t>
            </w:r>
          </w:p>
        </w:tc>
      </w:tr>
      <w:tr w14:paraId="7EFF5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09199B1E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5 Persistence missing</w:t>
            </w:r>
          </w:p>
        </w:tc>
        <w:tc>
          <w:tcPr>
            <w:tcW w:w="51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71568A63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Implemented the same persistence repair as feedback item 4 and added a repository unit test source file for repeatable verification.</w:t>
            </w:r>
          </w:p>
        </w:tc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10603173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The database is stored locally under 05 External Workers data when the workers are run. It is separate from short-lived Zeebe process-instance variables.</w:t>
            </w:r>
          </w:p>
        </w:tc>
      </w:tr>
    </w:tbl>
    <w:p w14:paraId="65046408">
      <w:pPr>
        <w:spacing w:after="80"/>
      </w:pPr>
    </w:p>
    <w:p w14:paraId="2F86D8EC">
      <w:pPr>
        <w:pStyle w:val="3"/>
        <w:spacing w:before="200" w:after="100"/>
      </w:pPr>
      <w:r>
        <w:t>Operational Model Changes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5400"/>
        <w:gridCol w:w="2736"/>
      </w:tblGrid>
      <w:tr w14:paraId="7D90A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vAlign w:val="center"/>
          </w:tcPr>
          <w:p w14:paraId="4D8D0236"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Child model</w:t>
            </w:r>
          </w:p>
        </w:tc>
        <w:tc>
          <w:tcPr>
            <w:tcW w:w="54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vAlign w:val="center"/>
          </w:tcPr>
          <w:p w14:paraId="3DA4A965"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What was repaired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vAlign w:val="center"/>
          </w:tcPr>
          <w:p w14:paraId="3F3DA3BB"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Main forms now used</w:t>
            </w:r>
          </w:p>
        </w:tc>
      </w:tr>
      <w:tr w14:paraId="50A34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24AE3854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Referral and Consultant Review</w:t>
            </w:r>
          </w:p>
        </w:tc>
        <w:tc>
          <w:tcPr>
            <w:tcW w:w="54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3553BF4A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Information checks and every referral outcome now have a form. Missing-information, accept, reject and redirect actions record a reason rather than relying on an empty task completion.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2626E645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Referral Intake, Consultant Review, Referral Action</w:t>
            </w:r>
          </w:p>
        </w:tc>
      </w:tr>
      <w:tr w14:paraId="475D8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534BB22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Appointment and Patient Communication</w:t>
            </w:r>
          </w:p>
        </w:tc>
        <w:tc>
          <w:tcPr>
            <w:tcW w:w="54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EB505D8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Contact outcomes, no-slot handling, reschedule and urgent coordination now collect a recorded outcome and next action. Communication completion is explicitly a converging point.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F45430B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Appointment Booking, Patient Contact, Appointment Resolution</w:t>
            </w:r>
          </w:p>
        </w:tc>
      </w:tr>
      <w:tr w14:paraId="40FEF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14F3A42D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Funding Payment and Refund</w:t>
            </w:r>
          </w:p>
        </w:tc>
        <w:tc>
          <w:tcPr>
            <w:tcW w:w="54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38420B8F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Amounts are numeric and non-negative. The funding/payment-cleared point is explicitly a converging gateway, while existing payment and refund outcomes remain separate.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440F886D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Funding Payment, Hospital Funding, Insurer Approval, Payment Outcome, Investigation, Refund forms</w:t>
            </w:r>
          </w:p>
        </w:tc>
      </w:tr>
      <w:tr w14:paraId="7439C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8DBDFE9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Treatment and Chemotherapy</w:t>
            </w:r>
          </w:p>
        </w:tc>
        <w:tc>
          <w:tcPr>
            <w:tcW w:w="54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73AADA9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The two routes that make a patient ready for booking now meet at Treatment Ready to Book. Consent, delay, pending, unauthorised return and financial-clearance tasks record a treatment action and reason.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380BEB7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Clinical Assessment, Treatment Request, Treatment Cycle Review, Treatment Action</w:t>
            </w:r>
          </w:p>
        </w:tc>
      </w:tr>
      <w:tr w14:paraId="5AA70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45624F47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Enquiry and Clinic Letter Monitoring</w:t>
            </w:r>
          </w:p>
        </w:tc>
        <w:tc>
          <w:tcPr>
            <w:tcW w:w="54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000FA224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Administrative, financial, clinical and urgent enquiry routes now collect an action record. The final administrative check has its own recipient-confirmation form. Monitoring completion remains an explicit merge.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79B08265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Enquiry, Enquiry Route, Clinic Letter, Approval, Monitoring, Clinic Letter Admin</w:t>
            </w:r>
          </w:p>
        </w:tc>
      </w:tr>
    </w:tbl>
    <w:p w14:paraId="5B2BDE1A">
      <w:pPr>
        <w:spacing w:after="80"/>
      </w:pPr>
    </w:p>
    <w:p w14:paraId="780B929B">
      <w:pPr>
        <w:pStyle w:val="3"/>
        <w:spacing w:before="200" w:after="100"/>
      </w:pPr>
      <w:r>
        <w:t>Validation Performed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3024"/>
        <w:gridCol w:w="4176"/>
      </w:tblGrid>
      <w:tr w14:paraId="43F7A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vAlign w:val="center"/>
          </w:tcPr>
          <w:p w14:paraId="02BECBD6"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vAlign w:val="center"/>
          </w:tcPr>
          <w:p w14:paraId="1A458213"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vAlign w:val="center"/>
          </w:tcPr>
          <w:p w14:paraId="56656F61"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What it proves</w:t>
            </w:r>
          </w:p>
        </w:tc>
      </w:tr>
      <w:tr w14:paraId="7EDD2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548F6033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Form and BPMN structural validation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5C57433E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Passed: 24 form definitions and 5 child BPMN files.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61BB9B8C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Every form is valid JSON; BPMN XML parses; sequence-flow references are consistent; every User Task has an existing form binding.</w:t>
            </w:r>
          </w:p>
        </w:tc>
      </w:tr>
      <w:tr w14:paraId="685E4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8E7667E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Persistence repository read and write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1062CD3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Passed: P-DEMO-001 returned the saved referral and appointment values.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32D1683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The prototype stores data independently of a single workflow instance and retrieves it by patient ID.</w:t>
            </w:r>
          </w:p>
        </w:tc>
      </w:tr>
      <w:tr w14:paraId="47B2E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49B20F86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External worker source compilation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58F5FEF8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Passed: all external-worker Java source compiled with Java 17 against the cached Camunda and H2 dependencies.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642B064C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The persistence repository and the WorkerSupport integration compile together with the existing worker classes.</w:t>
            </w:r>
          </w:p>
        </w:tc>
      </w:tr>
      <w:tr w14:paraId="47A2B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5958B42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Full engine deployment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7EAE17C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Not claimed as passed in this evidence run because Maven was not available in the current terminal and no Camunda engine was started.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0B49870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Before final submission, run mvn test and deploy the BPMNs/forms to the group Camunda environment for end-to-end evidence.</w:t>
            </w:r>
          </w:p>
        </w:tc>
      </w:tr>
    </w:tbl>
    <w:p w14:paraId="23364630">
      <w:pPr>
        <w:spacing w:after="80"/>
      </w:pPr>
    </w:p>
    <w:p w14:paraId="67975413">
      <w:pPr>
        <w:rPr>
          <w:rFonts w:hint="eastAsia" w:eastAsia="宋体"/>
          <w:lang w:val="en-US" w:eastAsia="zh-CN"/>
        </w:rPr>
      </w:pPr>
      <w:bookmarkStart w:id="0" w:name="_GoBack"/>
      <w:bookmarkEnd w:id="0"/>
    </w:p>
    <w:sectPr>
      <w:pgSz w:w="12240" w:h="15840"/>
      <w:pgMar w:top="936" w:right="936" w:bottom="936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与墨 W04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与墨 W04">
    <w:panose1 w:val="02020400000000000000"/>
    <w:charset w:val="80"/>
    <w:family w:val="auto"/>
    <w:pitch w:val="default"/>
    <w:sig w:usb0="80000023" w:usb1="1801004A" w:usb2="00000010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BD6274"/>
    <w:rsid w:val="69C4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518</Words>
  <Characters>3222</Characters>
  <Lines>0</Lines>
  <Paragraphs>0</Paragraphs>
  <TotalTime>0</TotalTime>
  <ScaleCrop>false</ScaleCrop>
  <LinksUpToDate>false</LinksUpToDate>
  <CharactersWithSpaces>3695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going</cp:lastModifiedBy>
  <dcterms:modified xsi:type="dcterms:W3CDTF">2026-10-15T03:21:14Z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eyJoZGlkIjoiZmIwNTdjZmVlNzk5NDhkMjYwN2U5MzU5ZGE4Y2U3YTQiLCJ1c2VySWQiOiIxMTY5MTMyODIxIn0=</vt:lpwstr>
  </property>
  <property fmtid="{D5CDD505-2E9C-101B-9397-08002B2CF9AE}" pid="3" name="KSOProductBuildVer">
    <vt:lpwstr>2052-12.1.0.28505</vt:lpwstr>
  </property>
  <property fmtid="{D5CDD505-2E9C-101B-9397-08002B2CF9AE}" pid="4" name="ICV">
    <vt:lpwstr>3C8628C6D58942C7BAA3C5FE34519ED8_12</vt:lpwstr>
  </property>
</Properties>
</file>